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17D" w:rsidRPr="00E963AB" w:rsidRDefault="00A7017D" w:rsidP="00A7017D">
      <w:pPr>
        <w:rPr>
          <w:sz w:val="44"/>
          <w:szCs w:val="44"/>
        </w:rPr>
      </w:pPr>
      <w:r w:rsidRPr="00E963AB">
        <w:rPr>
          <w:sz w:val="44"/>
          <w:szCs w:val="44"/>
        </w:rPr>
        <w:t xml:space="preserve">DERMATITE DE CONTATO </w:t>
      </w:r>
    </w:p>
    <w:p w:rsidR="00A7017D" w:rsidRDefault="00A7017D" w:rsidP="00A7017D">
      <w:pPr>
        <w:spacing w:line="480" w:lineRule="auto"/>
        <w:ind w:left="1260" w:firstLine="708"/>
        <w:jc w:val="both"/>
        <w:rPr>
          <w:b/>
        </w:rPr>
      </w:pPr>
    </w:p>
    <w:p w:rsidR="00A7017D" w:rsidRDefault="00A7017D" w:rsidP="00A7017D">
      <w:pPr>
        <w:spacing w:line="480" w:lineRule="auto"/>
        <w:ind w:left="1260" w:firstLine="708"/>
        <w:jc w:val="both"/>
        <w:rPr>
          <w:bCs/>
          <w:sz w:val="32"/>
          <w:szCs w:val="32"/>
        </w:rPr>
      </w:pPr>
      <w:r w:rsidRPr="00E963AB">
        <w:rPr>
          <w:bCs/>
          <w:sz w:val="32"/>
          <w:szCs w:val="32"/>
        </w:rPr>
        <w:t>Prof</w:t>
      </w:r>
      <w:r w:rsidRPr="00E963AB">
        <w:rPr>
          <w:rFonts w:ascii="(Usar fonte para texto asiático" w:hAnsi="(Usar fonte para texto asiático"/>
          <w:bCs/>
          <w:sz w:val="32"/>
          <w:szCs w:val="32"/>
          <w:vertAlign w:val="superscript"/>
        </w:rPr>
        <w:t>a</w:t>
      </w:r>
      <w:r w:rsidRPr="00E963AB">
        <w:rPr>
          <w:bCs/>
          <w:sz w:val="32"/>
          <w:szCs w:val="32"/>
        </w:rPr>
        <w:t xml:space="preserve"> Dr</w:t>
      </w:r>
      <w:r w:rsidRPr="00E963AB">
        <w:rPr>
          <w:rFonts w:ascii="(Usar fonte para texto asiático" w:hAnsi="(Usar fonte para texto asiático"/>
          <w:bCs/>
          <w:sz w:val="32"/>
          <w:szCs w:val="32"/>
          <w:vertAlign w:val="superscript"/>
        </w:rPr>
        <w:t>a.</w:t>
      </w:r>
      <w:r w:rsidRPr="00E963AB">
        <w:rPr>
          <w:bCs/>
          <w:sz w:val="32"/>
          <w:szCs w:val="32"/>
        </w:rPr>
        <w:t>Alice de Oliveira de Avelar Alchorne</w:t>
      </w:r>
    </w:p>
    <w:p w:rsidR="00E963AB" w:rsidRPr="00E963AB" w:rsidRDefault="009E7927" w:rsidP="00A7017D">
      <w:pPr>
        <w:spacing w:line="480" w:lineRule="auto"/>
        <w:ind w:left="1260" w:firstLine="708"/>
        <w:jc w:val="both"/>
        <w:rPr>
          <w:bCs/>
          <w:sz w:val="32"/>
          <w:szCs w:val="32"/>
        </w:rPr>
      </w:pPr>
      <w:hyperlink r:id="rId6" w:history="1">
        <w:r w:rsidR="00E963AB" w:rsidRPr="00B00319">
          <w:rPr>
            <w:rStyle w:val="Hipervnculo"/>
            <w:bCs/>
            <w:sz w:val="32"/>
            <w:szCs w:val="32"/>
          </w:rPr>
          <w:t>a.alchorne@terra.com.br</w:t>
        </w:r>
      </w:hyperlink>
      <w:r w:rsidR="00E963AB">
        <w:rPr>
          <w:bCs/>
          <w:sz w:val="32"/>
          <w:szCs w:val="32"/>
        </w:rPr>
        <w:t xml:space="preserve"> </w:t>
      </w:r>
    </w:p>
    <w:p w:rsidR="00A7017D" w:rsidRDefault="00A7017D" w:rsidP="00E963AB">
      <w:pPr>
        <w:spacing w:line="480" w:lineRule="auto"/>
        <w:jc w:val="both"/>
        <w:rPr>
          <w:bCs/>
          <w:sz w:val="16"/>
          <w:szCs w:val="16"/>
        </w:rPr>
      </w:pPr>
      <w:r>
        <w:rPr>
          <w:sz w:val="16"/>
          <w:szCs w:val="16"/>
        </w:rPr>
        <w:t xml:space="preserve">Dermatologista, </w:t>
      </w:r>
      <w:r>
        <w:rPr>
          <w:bCs/>
          <w:sz w:val="16"/>
          <w:szCs w:val="16"/>
        </w:rPr>
        <w:t>Prof</w:t>
      </w:r>
      <w:r>
        <w:rPr>
          <w:rFonts w:ascii="(Usar fonte para texto asiático" w:hAnsi="(Usar fonte para texto asiático"/>
          <w:bCs/>
          <w:sz w:val="16"/>
          <w:szCs w:val="16"/>
          <w:vertAlign w:val="superscript"/>
        </w:rPr>
        <w:t>a</w:t>
      </w:r>
      <w:r>
        <w:rPr>
          <w:bCs/>
          <w:sz w:val="16"/>
          <w:szCs w:val="16"/>
        </w:rPr>
        <w:t>. Orientadora do Programa de Pós-graduação (Mestrado e Doutorado) da Universidade Federal de São Paulo-Escola Paulista de Medicina (UNIFESP-EPM)</w:t>
      </w:r>
    </w:p>
    <w:p w:rsidR="00A7017D" w:rsidRDefault="00A7017D" w:rsidP="00A7017D">
      <w:pPr>
        <w:spacing w:line="480" w:lineRule="auto"/>
        <w:ind w:left="1260" w:firstLine="708"/>
        <w:jc w:val="both"/>
        <w:rPr>
          <w:bCs/>
          <w:sz w:val="16"/>
          <w:szCs w:val="16"/>
        </w:rPr>
      </w:pPr>
      <w:r>
        <w:rPr>
          <w:bCs/>
          <w:sz w:val="16"/>
          <w:szCs w:val="16"/>
        </w:rPr>
        <w:t>Coordenadora do Departamento de Alergia e Dermatologia Ocupacional da Sociedade Brasileira de Dermatologia</w:t>
      </w:r>
    </w:p>
    <w:p w:rsidR="00A7017D" w:rsidRDefault="00A7017D" w:rsidP="00A7017D">
      <w:pPr>
        <w:spacing w:line="480" w:lineRule="auto"/>
        <w:ind w:left="1260" w:firstLine="708"/>
        <w:jc w:val="both"/>
        <w:rPr>
          <w:bCs/>
          <w:sz w:val="16"/>
          <w:szCs w:val="16"/>
        </w:rPr>
      </w:pPr>
      <w:r>
        <w:rPr>
          <w:bCs/>
          <w:sz w:val="16"/>
          <w:szCs w:val="16"/>
        </w:rPr>
        <w:t>Coordenadora do Capítulo de Alergia e Dermatologia Profissional do CILAD</w:t>
      </w:r>
    </w:p>
    <w:p w:rsidR="00A7017D" w:rsidRDefault="00A7017D" w:rsidP="00A7017D">
      <w:pPr>
        <w:spacing w:line="480" w:lineRule="auto"/>
        <w:ind w:left="3540"/>
        <w:rPr>
          <w:i/>
        </w:rPr>
      </w:pPr>
    </w:p>
    <w:p w:rsidR="00A7017D" w:rsidRPr="00317374" w:rsidRDefault="00A7017D" w:rsidP="00A7017D">
      <w:pPr>
        <w:spacing w:line="480" w:lineRule="auto"/>
        <w:jc w:val="both"/>
        <w:rPr>
          <w:b/>
          <w:sz w:val="32"/>
          <w:szCs w:val="32"/>
        </w:rPr>
      </w:pPr>
      <w:r w:rsidRPr="00317374">
        <w:rPr>
          <w:b/>
          <w:sz w:val="32"/>
          <w:szCs w:val="32"/>
        </w:rPr>
        <w:t>CONCEITO</w:t>
      </w:r>
    </w:p>
    <w:p w:rsidR="00A7017D" w:rsidRDefault="00A7017D" w:rsidP="00A7017D">
      <w:pPr>
        <w:spacing w:line="480" w:lineRule="auto"/>
        <w:ind w:firstLine="567"/>
        <w:jc w:val="both"/>
        <w:rPr>
          <w:rFonts w:ascii="Arial" w:hAnsi="Arial" w:cs="Arial"/>
        </w:rPr>
      </w:pPr>
      <w:r>
        <w:t>A dermatite de contato (DC) é uma dermatose inflamatória frequente, pruriginosa, causada por agentes externos em contato com a pele</w:t>
      </w:r>
      <w:r>
        <w:rPr>
          <w:rFonts w:ascii="(Usar fonte para texto asiático" w:hAnsi="(Usar fonte para texto asiático"/>
          <w:vertAlign w:val="superscript"/>
        </w:rPr>
        <w:t>1</w:t>
      </w:r>
      <w:r>
        <w:t xml:space="preserve">. </w:t>
      </w:r>
    </w:p>
    <w:p w:rsidR="00A7017D" w:rsidRDefault="00A7017D" w:rsidP="00A7017D">
      <w:pPr>
        <w:spacing w:line="480" w:lineRule="auto"/>
        <w:jc w:val="both"/>
      </w:pPr>
    </w:p>
    <w:p w:rsidR="00A7017D" w:rsidRPr="00317374" w:rsidRDefault="00A7017D" w:rsidP="00A7017D">
      <w:pPr>
        <w:spacing w:line="480" w:lineRule="auto"/>
        <w:jc w:val="both"/>
        <w:rPr>
          <w:b/>
          <w:sz w:val="32"/>
          <w:szCs w:val="32"/>
        </w:rPr>
      </w:pPr>
      <w:r w:rsidRPr="00317374">
        <w:rPr>
          <w:b/>
          <w:sz w:val="32"/>
          <w:szCs w:val="32"/>
        </w:rPr>
        <w:t>EPIDEMIOLOGIA</w:t>
      </w:r>
    </w:p>
    <w:p w:rsidR="00A7017D" w:rsidRDefault="00A7017D" w:rsidP="00E963AB">
      <w:pPr>
        <w:spacing w:line="480" w:lineRule="auto"/>
        <w:ind w:firstLine="567"/>
      </w:pPr>
      <w:r>
        <w:t>A DC representa cerca de 4 a 7% das consultas dermatológicas, sendo uma das principais doenças ocupacionais. A dermatite de contato irritativa (DCI) é mais comum que a dermatite de contato alérgica (DCA)</w:t>
      </w:r>
      <w:proofErr w:type="gramStart"/>
      <w:r>
        <w:rPr>
          <w:rFonts w:ascii="(Usar fonte para texto asiático" w:hAnsi="(Usar fonte para texto asiático"/>
          <w:vertAlign w:val="superscript"/>
        </w:rPr>
        <w:t>2</w:t>
      </w:r>
      <w:proofErr w:type="gramEnd"/>
      <w:r>
        <w:t>.</w:t>
      </w:r>
    </w:p>
    <w:p w:rsidR="00A7017D" w:rsidRDefault="00A7017D" w:rsidP="00E963AB">
      <w:pPr>
        <w:spacing w:line="480" w:lineRule="auto"/>
        <w:ind w:firstLine="567"/>
      </w:pPr>
      <w:r>
        <w:t>A DC acomete ambos os sexos e todas as faixas etárias, sendo menos comum nas crianças e rara nos lactentes.</w:t>
      </w:r>
    </w:p>
    <w:p w:rsidR="00A7017D" w:rsidRDefault="00A7017D" w:rsidP="00E963AB">
      <w:pPr>
        <w:spacing w:line="480" w:lineRule="auto"/>
        <w:ind w:firstLine="567"/>
      </w:pPr>
      <w:r>
        <w:t xml:space="preserve">A pele negra tem menor incidência de DCI. </w:t>
      </w:r>
    </w:p>
    <w:p w:rsidR="00A7017D" w:rsidRDefault="00A7017D" w:rsidP="00E963AB">
      <w:pPr>
        <w:spacing w:line="480" w:lineRule="auto"/>
        <w:ind w:firstLine="567"/>
      </w:pPr>
      <w:r>
        <w:t xml:space="preserve">Tem sido estimado que </w:t>
      </w:r>
      <w:proofErr w:type="gramStart"/>
      <w:r>
        <w:t>existem</w:t>
      </w:r>
      <w:proofErr w:type="gramEnd"/>
      <w:r>
        <w:t xml:space="preserve"> mais de 11 milhões de substâncias químicas.</w:t>
      </w:r>
    </w:p>
    <w:p w:rsidR="00A7017D" w:rsidRDefault="00A7017D" w:rsidP="00E963AB">
      <w:pPr>
        <w:spacing w:line="480" w:lineRule="auto"/>
        <w:ind w:firstLine="567"/>
      </w:pPr>
      <w:r>
        <w:t>A presença de outra dermatose favorece a penetração de substâncias irritantes e sensibilizantes, seja por alteração da barreira cutânea, como pela inflamação, a qual pela vasodilatação favorece a absorção percutânea. Assim a própria DCI favorece a DCA e vice versa</w:t>
      </w:r>
      <w:r>
        <w:rPr>
          <w:rFonts w:ascii="(Usar fonte para texto asiático" w:hAnsi="(Usar fonte para texto asiático"/>
          <w:vertAlign w:val="superscript"/>
        </w:rPr>
        <w:t>3</w:t>
      </w:r>
      <w:r>
        <w:t>.</w:t>
      </w:r>
    </w:p>
    <w:p w:rsidR="00A7017D" w:rsidRDefault="00A7017D" w:rsidP="00E963AB">
      <w:pPr>
        <w:spacing w:line="480" w:lineRule="auto"/>
      </w:pPr>
    </w:p>
    <w:p w:rsidR="00A7017D" w:rsidRDefault="00A7017D" w:rsidP="00A7017D">
      <w:pPr>
        <w:pStyle w:val="Sangradetextonormal"/>
        <w:spacing w:line="480" w:lineRule="auto"/>
        <w:jc w:val="both"/>
      </w:pPr>
    </w:p>
    <w:p w:rsidR="00A7017D" w:rsidRPr="00481ABF" w:rsidRDefault="00A7017D" w:rsidP="00A7017D">
      <w:pPr>
        <w:pStyle w:val="Sangradetextonormal"/>
        <w:spacing w:line="480" w:lineRule="auto"/>
        <w:ind w:left="0"/>
        <w:jc w:val="both"/>
        <w:rPr>
          <w:b/>
          <w:sz w:val="32"/>
          <w:szCs w:val="32"/>
        </w:rPr>
      </w:pPr>
      <w:r w:rsidRPr="00481ABF">
        <w:rPr>
          <w:b/>
          <w:sz w:val="32"/>
          <w:szCs w:val="32"/>
        </w:rPr>
        <w:t>FISIOPATOLOGIA</w:t>
      </w:r>
    </w:p>
    <w:p w:rsidR="00A7017D" w:rsidRPr="008839AF" w:rsidRDefault="00A7017D" w:rsidP="00E963AB">
      <w:pPr>
        <w:spacing w:line="480" w:lineRule="auto"/>
        <w:ind w:firstLine="567"/>
      </w:pPr>
      <w:r>
        <w:t>A DC tem etiologia exógena, desencadeada pelo contato de substâncias com a pele. Existem quatro tipos básicos de DC: irritativa, alérgica, fototóxica efotoalérgica.</w:t>
      </w:r>
    </w:p>
    <w:p w:rsidR="00A7017D" w:rsidRDefault="00A7017D" w:rsidP="00E963AB">
      <w:pPr>
        <w:spacing w:line="480" w:lineRule="auto"/>
        <w:ind w:firstLine="567"/>
      </w:pPr>
      <w:r>
        <w:t>Embora os mecanismos sejam diferentes, os eventos inflamatórios, após o contato com irritantes ou alergenos, são semelhantes. Ambos ativam os queratinocitos (QT), com liberação de citocinas preformadas, síntese e liberação de citocinas: IL1, TNFα, Il6, IL8, Fator estimulante de colônias de granulócitos e macrófagos (GM – CSF), TGFα (fator de transformação de crescimento), aumento de expressão de HLA DR (Moléculas de Histocompatibilidade Classe II- MHC Classe II), aumento de expressão de moléculas de adesão (ICAM-1) e aumento de mitoses (causam hiperqueratose). As células dendríticas apresentadoras de antígeno (AG) como</w:t>
      </w:r>
      <w:proofErr w:type="gramStart"/>
      <w:r>
        <w:t xml:space="preserve"> por exemplo</w:t>
      </w:r>
      <w:proofErr w:type="gramEnd"/>
      <w:r>
        <w:t xml:space="preserve"> as células  de Langerhans (CL)  que processam e apresentam  o AG  aos     linfocitos  </w:t>
      </w:r>
    </w:p>
    <w:p w:rsidR="00A7017D" w:rsidRDefault="00A7017D" w:rsidP="00E963AB">
      <w:pPr>
        <w:spacing w:line="480" w:lineRule="auto"/>
      </w:pPr>
      <w:r>
        <w:t xml:space="preserve">TCD8 positivos  (LT CD8+) somente  são ativadas pelos alergenos </w:t>
      </w:r>
      <w:r>
        <w:rPr>
          <w:rFonts w:ascii="(Usar fonte para texto asiático" w:hAnsi="(Usar fonte para texto asiático"/>
          <w:vertAlign w:val="superscript"/>
        </w:rPr>
        <w:t>1</w:t>
      </w:r>
      <w:r>
        <w:t>.</w:t>
      </w:r>
    </w:p>
    <w:p w:rsidR="00A7017D" w:rsidRDefault="00A7017D" w:rsidP="00E963AB">
      <w:pPr>
        <w:spacing w:line="480" w:lineRule="auto"/>
        <w:ind w:firstLine="567"/>
      </w:pPr>
    </w:p>
    <w:p w:rsidR="00A7017D" w:rsidRPr="00000238" w:rsidRDefault="00A7017D" w:rsidP="00E963AB">
      <w:pPr>
        <w:pStyle w:val="Sangradetextonormal"/>
        <w:spacing w:line="480" w:lineRule="auto"/>
        <w:ind w:left="0"/>
        <w:rPr>
          <w:b/>
          <w:bCs/>
          <w:sz w:val="28"/>
          <w:szCs w:val="28"/>
        </w:rPr>
      </w:pPr>
      <w:r w:rsidRPr="00000238">
        <w:rPr>
          <w:b/>
          <w:bCs/>
          <w:sz w:val="28"/>
          <w:szCs w:val="28"/>
        </w:rPr>
        <w:t>DERMATITE DE CONTATO IRRITATIVA</w:t>
      </w:r>
    </w:p>
    <w:p w:rsidR="00A7017D" w:rsidRDefault="00A7017D" w:rsidP="00E963AB">
      <w:pPr>
        <w:pStyle w:val="Sangradetextonormal"/>
        <w:spacing w:line="480" w:lineRule="auto"/>
        <w:ind w:left="0" w:firstLine="567"/>
        <w:rPr>
          <w:bCs/>
        </w:rPr>
      </w:pPr>
      <w:r w:rsidRPr="006F7C30">
        <w:rPr>
          <w:rFonts w:eastAsia="+mn-ea"/>
          <w:bCs/>
          <w:color w:val="000000"/>
        </w:rPr>
        <w:t xml:space="preserve">Irritantes (cáusticos – álcalis, ácidos, solventes) </w:t>
      </w:r>
      <w:r>
        <w:rPr>
          <w:rFonts w:eastAsia="+mn-ea"/>
          <w:bCs/>
          <w:color w:val="000000"/>
        </w:rPr>
        <w:t>danificam a pele por mecanism</w:t>
      </w:r>
      <w:r w:rsidRPr="006F7C30">
        <w:rPr>
          <w:rFonts w:eastAsia="+mn-ea"/>
          <w:bCs/>
          <w:color w:val="000000"/>
        </w:rPr>
        <w:t>os tóxicos (não imunológicos)</w:t>
      </w:r>
      <w:r>
        <w:rPr>
          <w:rFonts w:eastAsia="+mn-ea"/>
          <w:bCs/>
          <w:color w:val="000000"/>
        </w:rPr>
        <w:t>.</w:t>
      </w:r>
    </w:p>
    <w:p w:rsidR="00A7017D" w:rsidRDefault="00A7017D" w:rsidP="00E963AB">
      <w:pPr>
        <w:pStyle w:val="Sangradetextonormal"/>
        <w:spacing w:line="480" w:lineRule="auto"/>
        <w:ind w:left="0" w:firstLine="567"/>
        <w:rPr>
          <w:b/>
          <w:bCs/>
        </w:rPr>
      </w:pPr>
      <w:r>
        <w:rPr>
          <w:bCs/>
        </w:rPr>
        <w:t>Causam: desnaturação prote</w:t>
      </w:r>
      <w:r w:rsidRPr="00EB4105">
        <w:rPr>
          <w:bCs/>
        </w:rPr>
        <w:t>ica, alteração da barreira cutânea, desorganização lipídica, aumentoda hidratação, citotoxicidade e queratólise</w:t>
      </w:r>
      <w:r>
        <w:rPr>
          <w:b/>
          <w:bCs/>
        </w:rPr>
        <w:t>.</w:t>
      </w:r>
    </w:p>
    <w:p w:rsidR="008C6E0D" w:rsidRDefault="008C6E0D" w:rsidP="00E963AB">
      <w:pPr>
        <w:pStyle w:val="Sangradetextonormal"/>
        <w:spacing w:line="480" w:lineRule="auto"/>
        <w:ind w:left="0" w:firstLine="567"/>
        <w:rPr>
          <w:b/>
          <w:bCs/>
        </w:rPr>
      </w:pPr>
    </w:p>
    <w:p w:rsidR="008C6E0D" w:rsidRDefault="008C6E0D" w:rsidP="00E963AB">
      <w:pPr>
        <w:pStyle w:val="Sangradetextonormal"/>
        <w:spacing w:line="480" w:lineRule="auto"/>
        <w:ind w:left="0" w:firstLine="567"/>
        <w:rPr>
          <w:b/>
          <w:bCs/>
        </w:rPr>
      </w:pPr>
    </w:p>
    <w:p w:rsidR="008C6E0D" w:rsidRDefault="008C6E0D" w:rsidP="00E963AB">
      <w:pPr>
        <w:pStyle w:val="Sangradetextonormal"/>
        <w:spacing w:line="480" w:lineRule="auto"/>
        <w:ind w:left="0" w:firstLine="567"/>
        <w:rPr>
          <w:b/>
          <w:bCs/>
        </w:rPr>
      </w:pPr>
    </w:p>
    <w:p w:rsidR="00A7017D" w:rsidRPr="0085501E" w:rsidRDefault="00A7017D" w:rsidP="00E963AB">
      <w:pPr>
        <w:pStyle w:val="Sangradetextonormal"/>
        <w:spacing w:line="480" w:lineRule="auto"/>
        <w:ind w:left="0"/>
        <w:rPr>
          <w:sz w:val="28"/>
          <w:szCs w:val="28"/>
        </w:rPr>
      </w:pPr>
      <w:r w:rsidRPr="00000238">
        <w:rPr>
          <w:bCs/>
          <w:sz w:val="28"/>
          <w:szCs w:val="28"/>
        </w:rPr>
        <w:t>CLASSIFICAÇÃO</w:t>
      </w:r>
    </w:p>
    <w:p w:rsidR="00A7017D" w:rsidRDefault="00A7017D" w:rsidP="00A7017D">
      <w:pPr>
        <w:pStyle w:val="Sangradetextonormal"/>
        <w:spacing w:line="480" w:lineRule="auto"/>
        <w:ind w:left="0" w:firstLine="567"/>
        <w:jc w:val="both"/>
        <w:rPr>
          <w:bCs/>
        </w:rPr>
      </w:pPr>
      <w:r w:rsidRPr="006521EC">
        <w:rPr>
          <w:b/>
          <w:bCs/>
        </w:rPr>
        <w:t>DCI absoluta ou aguda</w:t>
      </w:r>
      <w:r>
        <w:rPr>
          <w:bCs/>
        </w:rPr>
        <w:t xml:space="preserve">: causada </w:t>
      </w:r>
      <w:r w:rsidRPr="00EB4105">
        <w:rPr>
          <w:bCs/>
        </w:rPr>
        <w:t xml:space="preserve">por </w:t>
      </w:r>
      <w:r>
        <w:rPr>
          <w:bCs/>
        </w:rPr>
        <w:t>cáusticos potentes (</w:t>
      </w:r>
      <w:r w:rsidRPr="00EB4105">
        <w:rPr>
          <w:bCs/>
        </w:rPr>
        <w:t>fortes ou concentrados</w:t>
      </w:r>
      <w:r>
        <w:rPr>
          <w:bCs/>
        </w:rPr>
        <w:t>), tem aspecto de queimadura, com bolhas ou necrose. Ex: ácidos e álcalis concentrados. Figura 1.</w:t>
      </w:r>
    </w:p>
    <w:p w:rsidR="00F242B4" w:rsidRDefault="00F242B4" w:rsidP="00A7017D">
      <w:pPr>
        <w:pStyle w:val="Sangradetextonormal"/>
        <w:spacing w:line="480" w:lineRule="auto"/>
        <w:ind w:left="0" w:firstLine="567"/>
        <w:jc w:val="both"/>
        <w:rPr>
          <w:bCs/>
        </w:rPr>
      </w:pPr>
      <w:r>
        <w:rPr>
          <w:rFonts w:ascii="Arial" w:hAnsi="Arial" w:cs="Arial"/>
          <w:bCs/>
          <w:noProof/>
          <w:sz w:val="28"/>
          <w:szCs w:val="28"/>
          <w:lang w:val="en-US" w:eastAsia="en-US"/>
        </w:rPr>
        <w:drawing>
          <wp:inline distT="0" distB="0" distL="0" distR="0">
            <wp:extent cx="1627505" cy="2048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505" cy="2048510"/>
                    </a:xfrm>
                    <a:prstGeom prst="rect">
                      <a:avLst/>
                    </a:prstGeom>
                    <a:noFill/>
                  </pic:spPr>
                </pic:pic>
              </a:graphicData>
            </a:graphic>
          </wp:inline>
        </w:drawing>
      </w:r>
    </w:p>
    <w:p w:rsidR="00F242B4" w:rsidRPr="00560454" w:rsidRDefault="00F242B4" w:rsidP="00F242B4">
      <w:pPr>
        <w:rPr>
          <w:rFonts w:ascii="Arial" w:hAnsi="Arial" w:cs="Arial"/>
          <w:sz w:val="28"/>
          <w:szCs w:val="28"/>
        </w:rPr>
      </w:pPr>
      <w:r w:rsidRPr="000D5C44">
        <w:rPr>
          <w:rFonts w:ascii="Arial" w:hAnsi="Arial" w:cs="Arial"/>
          <w:bCs/>
          <w:sz w:val="28"/>
          <w:szCs w:val="28"/>
        </w:rPr>
        <w:t>Figura 1</w:t>
      </w:r>
      <w:r w:rsidRPr="00560454">
        <w:rPr>
          <w:rFonts w:ascii="Arial" w:hAnsi="Arial" w:cs="Arial"/>
          <w:bCs/>
          <w:sz w:val="28"/>
          <w:szCs w:val="28"/>
        </w:rPr>
        <w:t>.</w:t>
      </w:r>
      <w:r w:rsidRPr="00560454">
        <w:rPr>
          <w:rFonts w:ascii="Arial" w:hAnsi="Arial" w:cs="Arial"/>
          <w:sz w:val="28"/>
          <w:szCs w:val="28"/>
        </w:rPr>
        <w:t xml:space="preserve"> . DCI absoluta tipo queimadurapor </w:t>
      </w:r>
    </w:p>
    <w:p w:rsidR="00F242B4" w:rsidRPr="00560454" w:rsidRDefault="00F242B4" w:rsidP="00F242B4">
      <w:pPr>
        <w:rPr>
          <w:rFonts w:ascii="Arial" w:hAnsi="Arial" w:cs="Arial"/>
          <w:sz w:val="28"/>
          <w:szCs w:val="28"/>
        </w:rPr>
      </w:pPr>
      <w:proofErr w:type="gramStart"/>
      <w:r w:rsidRPr="00560454">
        <w:rPr>
          <w:rFonts w:ascii="Arial" w:hAnsi="Arial" w:cs="Arial"/>
          <w:sz w:val="28"/>
          <w:szCs w:val="28"/>
        </w:rPr>
        <w:t>substância</w:t>
      </w:r>
      <w:proofErr w:type="gramEnd"/>
      <w:r w:rsidRPr="00560454">
        <w:rPr>
          <w:rFonts w:ascii="Arial" w:hAnsi="Arial" w:cs="Arial"/>
          <w:sz w:val="28"/>
          <w:szCs w:val="28"/>
        </w:rPr>
        <w:t xml:space="preserve">  de inseto (potó) em biólogo</w:t>
      </w:r>
    </w:p>
    <w:p w:rsidR="00F242B4" w:rsidRPr="00560454" w:rsidRDefault="00F242B4" w:rsidP="00F242B4">
      <w:pPr>
        <w:pStyle w:val="Sangradetextonormal"/>
        <w:spacing w:line="480" w:lineRule="auto"/>
        <w:ind w:left="0" w:firstLine="567"/>
        <w:rPr>
          <w:rFonts w:ascii="Arial" w:hAnsi="Arial" w:cs="Arial"/>
          <w:bCs/>
          <w:sz w:val="28"/>
          <w:szCs w:val="28"/>
        </w:rPr>
      </w:pPr>
    </w:p>
    <w:p w:rsidR="00F242B4" w:rsidRDefault="00F242B4" w:rsidP="00A7017D">
      <w:pPr>
        <w:pStyle w:val="Sangradetextonormal"/>
        <w:spacing w:line="480" w:lineRule="auto"/>
        <w:ind w:left="0" w:firstLine="567"/>
        <w:jc w:val="both"/>
        <w:rPr>
          <w:bCs/>
        </w:rPr>
      </w:pPr>
    </w:p>
    <w:p w:rsidR="00A7017D" w:rsidRDefault="00A7017D" w:rsidP="00A7017D">
      <w:pPr>
        <w:pStyle w:val="Sangradetextonormal"/>
        <w:spacing w:line="480" w:lineRule="auto"/>
        <w:ind w:left="0" w:firstLine="567"/>
        <w:jc w:val="both"/>
        <w:rPr>
          <w:bCs/>
        </w:rPr>
      </w:pPr>
      <w:r w:rsidRPr="006521EC">
        <w:rPr>
          <w:b/>
          <w:bCs/>
        </w:rPr>
        <w:t>DCI absoluto de efeito retardado</w:t>
      </w:r>
      <w:r>
        <w:rPr>
          <w:bCs/>
        </w:rPr>
        <w:t>: aguda</w:t>
      </w:r>
      <w:proofErr w:type="gramStart"/>
      <w:r>
        <w:rPr>
          <w:bCs/>
        </w:rPr>
        <w:t xml:space="preserve"> mas</w:t>
      </w:r>
      <w:proofErr w:type="gramEnd"/>
      <w:r>
        <w:rPr>
          <w:bCs/>
        </w:rPr>
        <w:t xml:space="preserve"> com início após 8 a 24 horas, com eritema, edema e eventualmente bolhas. Ex: podofilina, antralina, cimento molhado, hipoclorito de sódio. Figura 2.</w:t>
      </w:r>
    </w:p>
    <w:p w:rsidR="00F242B4" w:rsidRDefault="00F242B4" w:rsidP="00A7017D">
      <w:pPr>
        <w:pStyle w:val="Sangradetextonormal"/>
        <w:spacing w:line="480" w:lineRule="auto"/>
        <w:ind w:left="0" w:firstLine="567"/>
        <w:jc w:val="both"/>
        <w:rPr>
          <w:bCs/>
        </w:rPr>
      </w:pPr>
      <w:r>
        <w:rPr>
          <w:rFonts w:ascii="Arial" w:hAnsi="Arial" w:cs="Arial"/>
          <w:bCs/>
          <w:noProof/>
          <w:sz w:val="28"/>
          <w:szCs w:val="28"/>
          <w:lang w:val="en-US" w:eastAsia="en-US"/>
        </w:rPr>
        <w:drawing>
          <wp:inline distT="0" distB="0" distL="0" distR="0">
            <wp:extent cx="1786255" cy="159702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1597025"/>
                    </a:xfrm>
                    <a:prstGeom prst="rect">
                      <a:avLst/>
                    </a:prstGeom>
                    <a:noFill/>
                  </pic:spPr>
                </pic:pic>
              </a:graphicData>
            </a:graphic>
          </wp:inline>
        </w:drawing>
      </w:r>
    </w:p>
    <w:p w:rsidR="00F242B4" w:rsidRPr="00560454" w:rsidRDefault="00F242B4" w:rsidP="00F242B4">
      <w:pPr>
        <w:rPr>
          <w:rFonts w:ascii="Arial" w:hAnsi="Arial" w:cs="Arial"/>
          <w:sz w:val="28"/>
          <w:szCs w:val="28"/>
        </w:rPr>
      </w:pPr>
      <w:r w:rsidRPr="000D5C44">
        <w:rPr>
          <w:rFonts w:ascii="Arial" w:hAnsi="Arial" w:cs="Arial"/>
          <w:bCs/>
          <w:sz w:val="28"/>
          <w:szCs w:val="28"/>
        </w:rPr>
        <w:t>Figura 2</w:t>
      </w:r>
      <w:r w:rsidRPr="00560454">
        <w:rPr>
          <w:rFonts w:ascii="Arial" w:hAnsi="Arial" w:cs="Arial"/>
          <w:bCs/>
          <w:sz w:val="28"/>
          <w:szCs w:val="28"/>
        </w:rPr>
        <w:t>.</w:t>
      </w:r>
      <w:r w:rsidRPr="00560454">
        <w:rPr>
          <w:rFonts w:ascii="Arial" w:hAnsi="Arial" w:cs="Arial"/>
          <w:sz w:val="28"/>
          <w:szCs w:val="28"/>
        </w:rPr>
        <w:t xml:space="preserve"> DCI absoluta tardia com ulcerações</w:t>
      </w:r>
    </w:p>
    <w:p w:rsidR="00F242B4" w:rsidRPr="00560454" w:rsidRDefault="00F242B4" w:rsidP="00F242B4">
      <w:pPr>
        <w:rPr>
          <w:rFonts w:ascii="Arial" w:hAnsi="Arial" w:cs="Arial"/>
          <w:sz w:val="28"/>
          <w:szCs w:val="28"/>
        </w:rPr>
      </w:pPr>
      <w:proofErr w:type="gramStart"/>
      <w:r w:rsidRPr="00560454">
        <w:rPr>
          <w:rFonts w:ascii="Arial" w:hAnsi="Arial" w:cs="Arial"/>
          <w:sz w:val="28"/>
          <w:szCs w:val="28"/>
        </w:rPr>
        <w:lastRenderedPageBreak/>
        <w:t>por</w:t>
      </w:r>
      <w:proofErr w:type="gramEnd"/>
      <w:r w:rsidRPr="00560454">
        <w:rPr>
          <w:rFonts w:ascii="Arial" w:hAnsi="Arial" w:cs="Arial"/>
          <w:sz w:val="28"/>
          <w:szCs w:val="28"/>
        </w:rPr>
        <w:t xml:space="preserve"> cimento molhado na bota em pedreiro</w:t>
      </w:r>
    </w:p>
    <w:p w:rsidR="00F242B4" w:rsidRDefault="00F242B4" w:rsidP="00A7017D">
      <w:pPr>
        <w:pStyle w:val="Sangradetextonormal"/>
        <w:spacing w:line="480" w:lineRule="auto"/>
        <w:ind w:left="0" w:firstLine="567"/>
        <w:jc w:val="both"/>
        <w:rPr>
          <w:bCs/>
        </w:rPr>
      </w:pPr>
    </w:p>
    <w:p w:rsidR="00A7017D" w:rsidRDefault="00A7017D" w:rsidP="00A7017D">
      <w:pPr>
        <w:pStyle w:val="Sangradetextonormal"/>
        <w:spacing w:line="480" w:lineRule="auto"/>
        <w:ind w:left="0" w:firstLine="567"/>
        <w:jc w:val="both"/>
        <w:rPr>
          <w:bCs/>
        </w:rPr>
      </w:pPr>
      <w:r w:rsidRPr="006521EC">
        <w:rPr>
          <w:b/>
          <w:bCs/>
        </w:rPr>
        <w:t>DCI relativo</w:t>
      </w:r>
      <w:r>
        <w:rPr>
          <w:bCs/>
        </w:rPr>
        <w:t>: irritantes fracos de uso frequente fazem com que a pele não consiga se recuperar dando àpele o aspecto de desgaste. Ex: água mais produtos domésticos, urina, fezes. Figuras3 e 4.</w:t>
      </w:r>
    </w:p>
    <w:p w:rsidR="00F242B4" w:rsidRDefault="00F242B4" w:rsidP="00A7017D">
      <w:pPr>
        <w:pStyle w:val="Sangradetextonormal"/>
        <w:spacing w:line="480" w:lineRule="auto"/>
        <w:ind w:left="0" w:firstLine="567"/>
        <w:jc w:val="both"/>
        <w:rPr>
          <w:bCs/>
        </w:rPr>
      </w:pPr>
      <w:r>
        <w:rPr>
          <w:rFonts w:ascii="Arial" w:hAnsi="Arial" w:cs="Arial"/>
          <w:bCs/>
          <w:noProof/>
          <w:sz w:val="28"/>
          <w:szCs w:val="28"/>
          <w:lang w:val="en-US" w:eastAsia="en-US"/>
        </w:rPr>
        <w:drawing>
          <wp:inline distT="0" distB="0" distL="0" distR="0">
            <wp:extent cx="1981200" cy="1603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603375"/>
                    </a:xfrm>
                    <a:prstGeom prst="rect">
                      <a:avLst/>
                    </a:prstGeom>
                    <a:noFill/>
                  </pic:spPr>
                </pic:pic>
              </a:graphicData>
            </a:graphic>
          </wp:inline>
        </w:drawing>
      </w:r>
    </w:p>
    <w:p w:rsidR="00F242B4" w:rsidRDefault="00F242B4" w:rsidP="00F242B4">
      <w:pPr>
        <w:rPr>
          <w:rFonts w:ascii="Arial" w:hAnsi="Arial" w:cs="Arial"/>
          <w:sz w:val="28"/>
          <w:szCs w:val="28"/>
        </w:rPr>
      </w:pPr>
      <w:r w:rsidRPr="0001147F">
        <w:rPr>
          <w:rFonts w:ascii="Arial" w:hAnsi="Arial" w:cs="Arial"/>
          <w:sz w:val="28"/>
          <w:szCs w:val="28"/>
        </w:rPr>
        <w:t>Figura 3. DCI relativo por detergente em dona de casa</w:t>
      </w:r>
    </w:p>
    <w:p w:rsidR="00F242B4" w:rsidRDefault="00F242B4" w:rsidP="00F242B4">
      <w:pPr>
        <w:rPr>
          <w:rFonts w:ascii="Arial" w:hAnsi="Arial" w:cs="Arial"/>
          <w:sz w:val="28"/>
          <w:szCs w:val="28"/>
        </w:rPr>
      </w:pPr>
    </w:p>
    <w:p w:rsidR="00F242B4" w:rsidRDefault="00F242B4" w:rsidP="00A7017D">
      <w:pPr>
        <w:pStyle w:val="Sangradetextonormal"/>
        <w:spacing w:line="480" w:lineRule="auto"/>
        <w:ind w:left="0" w:firstLine="567"/>
        <w:jc w:val="both"/>
        <w:rPr>
          <w:bCs/>
        </w:rPr>
      </w:pPr>
      <w:r>
        <w:rPr>
          <w:rFonts w:ascii="Arial" w:hAnsi="Arial" w:cs="Arial"/>
          <w:noProof/>
          <w:sz w:val="28"/>
          <w:szCs w:val="28"/>
          <w:lang w:val="en-US" w:eastAsia="en-US"/>
        </w:rPr>
        <w:drawing>
          <wp:inline distT="0" distB="0" distL="0" distR="0">
            <wp:extent cx="1706880" cy="159131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1591310"/>
                    </a:xfrm>
                    <a:prstGeom prst="rect">
                      <a:avLst/>
                    </a:prstGeom>
                    <a:noFill/>
                  </pic:spPr>
                </pic:pic>
              </a:graphicData>
            </a:graphic>
          </wp:inline>
        </w:drawing>
      </w:r>
    </w:p>
    <w:p w:rsidR="00F242B4" w:rsidRPr="0001147F" w:rsidRDefault="00F242B4" w:rsidP="00F242B4">
      <w:pPr>
        <w:rPr>
          <w:rFonts w:ascii="Arial" w:hAnsi="Arial" w:cs="Arial"/>
          <w:sz w:val="28"/>
          <w:szCs w:val="28"/>
        </w:rPr>
      </w:pPr>
      <w:r w:rsidRPr="0001147F">
        <w:rPr>
          <w:rFonts w:ascii="Arial" w:hAnsi="Arial" w:cs="Arial"/>
          <w:sz w:val="28"/>
          <w:szCs w:val="28"/>
        </w:rPr>
        <w:t>Figura 4. DCI relativo por urina</w:t>
      </w:r>
    </w:p>
    <w:p w:rsidR="00F242B4" w:rsidRDefault="00F242B4" w:rsidP="00A7017D">
      <w:pPr>
        <w:pStyle w:val="Sangradetextonormal"/>
        <w:spacing w:line="480" w:lineRule="auto"/>
        <w:ind w:left="0" w:firstLine="567"/>
        <w:jc w:val="both"/>
        <w:rPr>
          <w:bCs/>
        </w:rPr>
      </w:pPr>
    </w:p>
    <w:p w:rsidR="00A7017D" w:rsidRDefault="00A7017D" w:rsidP="00E963AB">
      <w:pPr>
        <w:pStyle w:val="Sangradetextonormal"/>
        <w:spacing w:line="480" w:lineRule="auto"/>
        <w:ind w:left="0" w:firstLine="567"/>
        <w:rPr>
          <w:bCs/>
        </w:rPr>
      </w:pPr>
      <w:r w:rsidRPr="006521EC">
        <w:rPr>
          <w:b/>
          <w:bCs/>
        </w:rPr>
        <w:t>DCI tipo reação irritante</w:t>
      </w:r>
      <w:r>
        <w:rPr>
          <w:bCs/>
        </w:rPr>
        <w:t>: desencadeada por irritantes fracos em indivíduos expostos continuadamente à umidade. Melhora com o tempo pela adaptação da pele, a qual se torna hiperqueratósica (</w:t>
      </w:r>
      <w:r>
        <w:rPr>
          <w:bCs/>
          <w:i/>
        </w:rPr>
        <w:t>hardening</w:t>
      </w:r>
      <w:r>
        <w:rPr>
          <w:bCs/>
        </w:rPr>
        <w:t>).</w:t>
      </w:r>
    </w:p>
    <w:p w:rsidR="00A7017D" w:rsidRDefault="00A7017D" w:rsidP="00E963AB">
      <w:pPr>
        <w:pStyle w:val="Sangradetextonormal"/>
        <w:spacing w:line="480" w:lineRule="auto"/>
        <w:ind w:left="0" w:firstLine="567"/>
        <w:rPr>
          <w:bCs/>
        </w:rPr>
      </w:pPr>
      <w:r w:rsidRPr="006521EC">
        <w:rPr>
          <w:b/>
          <w:bCs/>
        </w:rPr>
        <w:t>DCI tipo pustulosa ou acneiforme</w:t>
      </w:r>
      <w:r>
        <w:rPr>
          <w:bCs/>
        </w:rPr>
        <w:t>. Ex. óleos, metais.</w:t>
      </w:r>
    </w:p>
    <w:p w:rsidR="00A7017D" w:rsidRDefault="00A7017D" w:rsidP="00E963AB">
      <w:pPr>
        <w:pStyle w:val="Sangradetextonormal"/>
        <w:spacing w:line="480" w:lineRule="auto"/>
        <w:ind w:left="0" w:firstLine="567"/>
        <w:rPr>
          <w:bCs/>
        </w:rPr>
      </w:pPr>
      <w:r w:rsidRPr="006521EC">
        <w:rPr>
          <w:b/>
          <w:bCs/>
        </w:rPr>
        <w:t>DCI tipo reação subjetiva</w:t>
      </w:r>
      <w:r>
        <w:rPr>
          <w:bCs/>
        </w:rPr>
        <w:t xml:space="preserve"> (pele sensível): são sensações(pinicação, ardor, prurido), geralmente na face. Em 50% há inflamação. Ex: cosméticos, suor. </w:t>
      </w:r>
    </w:p>
    <w:p w:rsidR="00A7017D" w:rsidRDefault="00A7017D" w:rsidP="00E963AB">
      <w:pPr>
        <w:pStyle w:val="Sangradetextonormal"/>
        <w:spacing w:line="480" w:lineRule="auto"/>
        <w:ind w:left="0" w:firstLine="567"/>
        <w:rPr>
          <w:bCs/>
        </w:rPr>
      </w:pPr>
      <w:r w:rsidRPr="006521EC">
        <w:rPr>
          <w:b/>
          <w:bCs/>
        </w:rPr>
        <w:lastRenderedPageBreak/>
        <w:t>DCI traumática</w:t>
      </w:r>
      <w:r>
        <w:rPr>
          <w:bCs/>
        </w:rPr>
        <w:t>: por fricção repetitiva. Ex: tecidos em costureiras. Figura 5.</w:t>
      </w:r>
    </w:p>
    <w:p w:rsidR="00F242B4" w:rsidRDefault="00F242B4" w:rsidP="00F242B4">
      <w:pPr>
        <w:rPr>
          <w:rFonts w:ascii="Arial" w:hAnsi="Arial" w:cs="Arial"/>
          <w:bCs/>
          <w:sz w:val="28"/>
          <w:szCs w:val="28"/>
        </w:rPr>
      </w:pPr>
      <w:r>
        <w:rPr>
          <w:rFonts w:ascii="Arial" w:hAnsi="Arial" w:cs="Arial"/>
          <w:bCs/>
          <w:noProof/>
          <w:sz w:val="28"/>
          <w:szCs w:val="28"/>
          <w:lang w:val="en-US" w:eastAsia="en-US"/>
        </w:rPr>
        <w:drawing>
          <wp:inline distT="0" distB="0" distL="0" distR="0">
            <wp:extent cx="2170430" cy="162750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pic:spPr>
                </pic:pic>
              </a:graphicData>
            </a:graphic>
          </wp:inline>
        </w:drawing>
      </w:r>
    </w:p>
    <w:p w:rsidR="00F242B4" w:rsidRPr="0001147F" w:rsidRDefault="00F242B4" w:rsidP="00F242B4">
      <w:pPr>
        <w:rPr>
          <w:rFonts w:ascii="Arial" w:hAnsi="Arial" w:cs="Arial"/>
          <w:bCs/>
          <w:sz w:val="28"/>
          <w:szCs w:val="28"/>
        </w:rPr>
      </w:pPr>
      <w:r w:rsidRPr="0001147F">
        <w:rPr>
          <w:rFonts w:ascii="Arial" w:hAnsi="Arial" w:cs="Arial"/>
          <w:bCs/>
          <w:sz w:val="28"/>
          <w:szCs w:val="28"/>
        </w:rPr>
        <w:t>Figura 5. DCA por têxtiltergal em costureira</w:t>
      </w:r>
    </w:p>
    <w:p w:rsidR="00F242B4" w:rsidRDefault="00F242B4" w:rsidP="00A7017D">
      <w:pPr>
        <w:pStyle w:val="Sangradetextonormal"/>
        <w:spacing w:line="480" w:lineRule="auto"/>
        <w:ind w:left="0" w:firstLine="567"/>
        <w:jc w:val="both"/>
        <w:rPr>
          <w:b/>
          <w:bCs/>
        </w:rPr>
      </w:pPr>
    </w:p>
    <w:p w:rsidR="00F242B4" w:rsidRDefault="00F242B4" w:rsidP="00A7017D">
      <w:pPr>
        <w:pStyle w:val="Sangradetextonormal"/>
        <w:spacing w:line="480" w:lineRule="auto"/>
        <w:ind w:left="0" w:firstLine="567"/>
        <w:jc w:val="both"/>
        <w:rPr>
          <w:b/>
          <w:bCs/>
        </w:rPr>
      </w:pPr>
    </w:p>
    <w:p w:rsidR="00A7017D" w:rsidRDefault="00A7017D" w:rsidP="00E963AB">
      <w:pPr>
        <w:pStyle w:val="Sangradetextonormal"/>
        <w:spacing w:line="480" w:lineRule="auto"/>
        <w:ind w:left="0" w:firstLine="567"/>
        <w:rPr>
          <w:bCs/>
        </w:rPr>
      </w:pPr>
      <w:r w:rsidRPr="006521EC">
        <w:rPr>
          <w:b/>
          <w:bCs/>
        </w:rPr>
        <w:t>DCI tipo xerose</w:t>
      </w:r>
      <w:r>
        <w:rPr>
          <w:bCs/>
        </w:rPr>
        <w:t>: perda do manto lipídico e consequente perda de água transepidérmica em idosos e atópicos, com banhos quentes e frequentes, com uso de bucha e sem uso de cremes hidratantes.</w:t>
      </w:r>
    </w:p>
    <w:p w:rsidR="00A7017D" w:rsidRPr="00EB4105" w:rsidRDefault="00A7017D" w:rsidP="00E963AB">
      <w:pPr>
        <w:pStyle w:val="Sangradetextonormal"/>
        <w:spacing w:line="480" w:lineRule="auto"/>
        <w:ind w:left="0"/>
      </w:pPr>
    </w:p>
    <w:p w:rsidR="00A7017D" w:rsidRPr="00000238" w:rsidRDefault="00A7017D" w:rsidP="00E963AB">
      <w:pPr>
        <w:pStyle w:val="Sangradetextonormal"/>
        <w:spacing w:line="480" w:lineRule="auto"/>
        <w:ind w:left="0"/>
        <w:rPr>
          <w:sz w:val="28"/>
          <w:szCs w:val="28"/>
        </w:rPr>
      </w:pPr>
      <w:r w:rsidRPr="00000238">
        <w:rPr>
          <w:b/>
          <w:bCs/>
          <w:sz w:val="28"/>
          <w:szCs w:val="28"/>
        </w:rPr>
        <w:t>DERMATITE DE CONTATO ALÉRGICA</w:t>
      </w:r>
    </w:p>
    <w:p w:rsidR="00A7017D" w:rsidRDefault="00A7017D" w:rsidP="00E963AB">
      <w:pPr>
        <w:pStyle w:val="Sangradetextonormal"/>
        <w:spacing w:line="480" w:lineRule="auto"/>
        <w:ind w:left="0" w:firstLine="567"/>
      </w:pPr>
      <w:r>
        <w:t xml:space="preserve">A DCA ocorre porque há ruptura da tolerância aos haptenos do meio ambiente. A tolerânciaé dada pelos linfocitos T   CD 4  positivos (L T  CD 4 +) reguladores, que produzem </w:t>
      </w:r>
    </w:p>
    <w:p w:rsidR="00A7017D" w:rsidRDefault="00A7017D" w:rsidP="00E963AB">
      <w:pPr>
        <w:pStyle w:val="Sangradetextonormal"/>
        <w:spacing w:line="480" w:lineRule="auto"/>
        <w:ind w:left="0"/>
      </w:pPr>
      <w:r>
        <w:t xml:space="preserve">I L 10a qual  inibe os  linfocitos  L T CD 8+ efetores da reação  inflamatória. </w:t>
      </w:r>
    </w:p>
    <w:p w:rsidR="00A7017D" w:rsidRDefault="00A7017D" w:rsidP="00E963AB">
      <w:pPr>
        <w:pStyle w:val="Sangradetextonormal"/>
        <w:spacing w:line="480" w:lineRule="auto"/>
        <w:ind w:left="0" w:firstLine="567"/>
      </w:pPr>
      <w:r>
        <w:t xml:space="preserve">A DCA tem como principal mecanismo imunológico a reação de hipersensibilidade tardia, tipo IV de Gell e </w:t>
      </w:r>
      <w:proofErr w:type="gramStart"/>
      <w:r>
        <w:t>Coombs</w:t>
      </w:r>
      <w:r>
        <w:rPr>
          <w:rFonts w:ascii="(Usar fonte para texto asiático" w:hAnsi="(Usar fonte para texto asiático"/>
          <w:vertAlign w:val="superscript"/>
        </w:rPr>
        <w:t>4,</w:t>
      </w:r>
      <w:proofErr w:type="gramEnd"/>
      <w:r>
        <w:rPr>
          <w:rFonts w:ascii="(Usar fonte para texto asiático" w:hAnsi="(Usar fonte para texto asiático"/>
          <w:vertAlign w:val="superscript"/>
        </w:rPr>
        <w:t xml:space="preserve">5 </w:t>
      </w:r>
      <w:r w:rsidRPr="0085501E">
        <w:t>com</w:t>
      </w:r>
      <w:r>
        <w:t xml:space="preserve"> sensibilização de linfócitos T (LT). Nas lesões urticarianas de contato ocorre reação do tipo I (imediata), com participação de </w:t>
      </w:r>
      <w:proofErr w:type="gramStart"/>
      <w:r>
        <w:t>IgE</w:t>
      </w:r>
      <w:proofErr w:type="gramEnd"/>
      <w:r>
        <w:t xml:space="preserve"> dos mastócitos. </w:t>
      </w:r>
    </w:p>
    <w:p w:rsidR="00A7017D" w:rsidRDefault="00A7017D" w:rsidP="00E963AB">
      <w:pPr>
        <w:pStyle w:val="Sangradetextonormal"/>
        <w:spacing w:line="480" w:lineRule="auto"/>
        <w:ind w:left="0" w:firstLine="567"/>
      </w:pPr>
      <w:r>
        <w:t xml:space="preserve">Em estudos em </w:t>
      </w:r>
      <w:proofErr w:type="gramStart"/>
      <w:r>
        <w:t>camundongos</w:t>
      </w:r>
      <w:r w:rsidR="00DF0550">
        <w:t xml:space="preserve"> </w:t>
      </w:r>
      <w:r>
        <w:t>,</w:t>
      </w:r>
      <w:proofErr w:type="gramEnd"/>
      <w:r>
        <w:t>há também formação de anticorpos (AC) IgM pelos linfócitos B (LB).</w:t>
      </w:r>
    </w:p>
    <w:p w:rsidR="00A7017D" w:rsidRDefault="00A7017D" w:rsidP="00DF0550">
      <w:pPr>
        <w:spacing w:line="480" w:lineRule="auto"/>
        <w:ind w:firstLine="567"/>
      </w:pPr>
      <w:r>
        <w:lastRenderedPageBreak/>
        <w:t>Há três fases na DCA:</w:t>
      </w:r>
      <w:r>
        <w:rPr>
          <w:rFonts w:ascii="(Usar fonte para texto asiático" w:hAnsi="(Usar fonte para texto asiático"/>
          <w:vertAlign w:val="superscript"/>
        </w:rPr>
        <w:t xml:space="preserve"> 6,7, </w:t>
      </w:r>
      <w:proofErr w:type="gramStart"/>
      <w:r>
        <w:rPr>
          <w:rFonts w:ascii="(Usar fonte para texto asiático" w:hAnsi="(Usar fonte para texto asiático"/>
          <w:vertAlign w:val="superscript"/>
        </w:rPr>
        <w:t>8</w:t>
      </w:r>
      <w:proofErr w:type="gramEnd"/>
    </w:p>
    <w:p w:rsidR="00A7017D" w:rsidRDefault="00A7017D" w:rsidP="00DF0550">
      <w:pPr>
        <w:numPr>
          <w:ilvl w:val="0"/>
          <w:numId w:val="3"/>
        </w:numPr>
        <w:tabs>
          <w:tab w:val="clear" w:pos="1440"/>
          <w:tab w:val="num" w:pos="360"/>
        </w:tabs>
        <w:spacing w:line="480" w:lineRule="auto"/>
        <w:ind w:left="360"/>
      </w:pPr>
      <w:r w:rsidRPr="00205638">
        <w:rPr>
          <w:b/>
          <w:bCs/>
          <w:color w:val="000000"/>
        </w:rPr>
        <w:t>Indução ou Imunização ou Sensibilização ou Fase Aferente</w:t>
      </w:r>
      <w:r>
        <w:t xml:space="preserve">: o </w:t>
      </w:r>
      <w:proofErr w:type="spellStart"/>
      <w:r>
        <w:t>processodura</w:t>
      </w:r>
      <w:proofErr w:type="spellEnd"/>
      <w:r>
        <w:t xml:space="preserve"> cerca de</w:t>
      </w:r>
      <w:r w:rsidR="00DF0550">
        <w:t xml:space="preserve"> </w:t>
      </w:r>
      <w:r>
        <w:t xml:space="preserve">duas a três semanas no ser humano. O hapteno, substância de baixo peso molecular, com boa reatividade química e alta lipossolubilidade,penetra o estrato córneo e une-se a uma proteína, formando o AG. </w:t>
      </w:r>
    </w:p>
    <w:p w:rsidR="00A7017D" w:rsidRDefault="00A7017D" w:rsidP="00DF0550">
      <w:pPr>
        <w:spacing w:line="480" w:lineRule="auto"/>
        <w:ind w:firstLine="567"/>
      </w:pPr>
      <w:r w:rsidRPr="00205638">
        <w:rPr>
          <w:bCs/>
          <w:color w:val="000000"/>
        </w:rPr>
        <w:t>Há quatrotipos   de haptenos: clássicos, prohaptenos que sofrem alguma modificação enzimática para se tornarem reativos (urushiol, drogas), prehaptenos  que sofrem transformação ambiental (luz, calor, oxigênio) e metais de transição (cromo, cobalto e níquel).</w:t>
      </w:r>
    </w:p>
    <w:p w:rsidR="00A7017D" w:rsidRDefault="00A7017D" w:rsidP="00DF0550">
      <w:pPr>
        <w:spacing w:line="480" w:lineRule="auto"/>
        <w:ind w:firstLine="567"/>
      </w:pPr>
      <w:r>
        <w:t>Amaioria dos haptenos são alergenos fracos, necessitando de várias exposições para sensibilização. É necessário que o hapteno permaneça na pele de 18 a 24 horas para sensibilizar.</w:t>
      </w:r>
    </w:p>
    <w:p w:rsidR="00A7017D" w:rsidRDefault="00A7017D" w:rsidP="00DF0550">
      <w:pPr>
        <w:spacing w:line="480" w:lineRule="auto"/>
        <w:ind w:firstLine="426"/>
      </w:pPr>
      <w:r>
        <w:t xml:space="preserve"> O AG penetra na CL (da camada suprabasal da epiderme),na qual  é processado e liga-se à glicoproteína – moléculas MHC – Classe I ou Classe II (</w:t>
      </w:r>
      <w:r w:rsidRPr="006D7D49">
        <w:rPr>
          <w:i/>
        </w:rPr>
        <w:t>carrier</w:t>
      </w:r>
      <w:r>
        <w:t xml:space="preserve"> protéico do AG) da membrana plasmática da CL.As CL produzem IL1 que estimulam osQT, os quais produzem IL1, TNF α  e GM – CSF.</w:t>
      </w:r>
    </w:p>
    <w:p w:rsidR="00A7017D" w:rsidRPr="00205638" w:rsidRDefault="00A7017D" w:rsidP="00DF0550">
      <w:pPr>
        <w:spacing w:line="480" w:lineRule="auto"/>
        <w:ind w:firstLine="567"/>
      </w:pPr>
      <w:r w:rsidRPr="00205638">
        <w:rPr>
          <w:bCs/>
          <w:color w:val="000000"/>
        </w:rPr>
        <w:t>A maioria dos haptenos (clássicos)</w:t>
      </w:r>
      <w:r>
        <w:rPr>
          <w:bCs/>
          <w:color w:val="000000"/>
        </w:rPr>
        <w:t xml:space="preserve">ligam-se às proteínas da epiderme através de ligações covalentes devido ao não pareamento  de elétrons na  última camada dessas proteinas. Os metais de transição(Cr, Ni, Co) formam ligações iônicas com as proteínas da epiderme e estas ligações são mais fracas que as covalentes. </w:t>
      </w:r>
    </w:p>
    <w:p w:rsidR="00A7017D" w:rsidRDefault="00A7017D" w:rsidP="00DF0550">
      <w:pPr>
        <w:pStyle w:val="Textoindependiente3"/>
        <w:spacing w:line="480" w:lineRule="auto"/>
        <w:ind w:firstLine="567"/>
        <w:jc w:val="left"/>
      </w:pPr>
      <w:r>
        <w:t xml:space="preserve">As CL migram pelos vasos linfáticos aferentes e apresentam o AGpara os L T CD8+ da região paracortical do gânglio regional, com a participação de IL 12 e de inúmeras moléculas estimuladoras (IL80 e IL86), o que leva à formação de clones de células T CD8+ efetoras e específicas de memória, que se dirigem a todo o corpo, </w:t>
      </w:r>
      <w:r>
        <w:lastRenderedPageBreak/>
        <w:t xml:space="preserve">principalmente para a pele, pois os LT sensibilizados expressam  o </w:t>
      </w:r>
      <w:r>
        <w:rPr>
          <w:i/>
        </w:rPr>
        <w:t>Cutaneous Lynphocyte A</w:t>
      </w:r>
      <w:r w:rsidRPr="006F7C30">
        <w:rPr>
          <w:i/>
        </w:rPr>
        <w:t>ntigen</w:t>
      </w:r>
      <w:r w:rsidRPr="000E475E">
        <w:t>(CLA).</w:t>
      </w:r>
    </w:p>
    <w:p w:rsidR="00A7017D" w:rsidRDefault="00A7017D" w:rsidP="00DF0550">
      <w:pPr>
        <w:spacing w:line="480" w:lineRule="auto"/>
        <w:ind w:firstLine="567"/>
      </w:pPr>
      <w:r>
        <w:rPr>
          <w:bCs/>
          <w:color w:val="000000"/>
        </w:rPr>
        <w:t>Osmetais de transição (Cr, Ni, Co) também podem ativar LT sem o processamento do AG pelas CL, por aproximação do receptor do LT com a molécula MHC das CL.</w:t>
      </w:r>
    </w:p>
    <w:p w:rsidR="00A7017D" w:rsidRDefault="00A7017D" w:rsidP="00DF0550">
      <w:pPr>
        <w:pStyle w:val="Textoindependiente3"/>
        <w:spacing w:line="480" w:lineRule="auto"/>
        <w:ind w:firstLine="567"/>
        <w:jc w:val="left"/>
      </w:pPr>
      <w:r>
        <w:t xml:space="preserve">A penetração do AG na pele também determina a liberação de glicolípides endógenos que são apresentados pelas células dendríticas para os LTNK. Estes liberam IL4 que estimula os LB tipo I a produzirem </w:t>
      </w:r>
      <w:proofErr w:type="gramStart"/>
      <w:r>
        <w:t>IgM</w:t>
      </w:r>
      <w:proofErr w:type="gramEnd"/>
      <w:r>
        <w:t xml:space="preserve">.  Com um novo contato, a interação de </w:t>
      </w:r>
      <w:proofErr w:type="gramStart"/>
      <w:r>
        <w:t>IgM</w:t>
      </w:r>
      <w:proofErr w:type="gramEnd"/>
      <w:r>
        <w:t xml:space="preserve"> com o AG leva à ativação do complemento que induz a liberação de fatores quimiotáticos e inflamatórios  dos mastócitos e células endoteliais.</w:t>
      </w:r>
    </w:p>
    <w:p w:rsidR="00A7017D" w:rsidRDefault="00A7017D" w:rsidP="00DF0550">
      <w:pPr>
        <w:pStyle w:val="Textoindependiente3"/>
        <w:spacing w:line="480" w:lineRule="auto"/>
        <w:jc w:val="left"/>
      </w:pPr>
      <w:r w:rsidRPr="006F7C30">
        <w:rPr>
          <w:i/>
        </w:rPr>
        <w:t>Flare-up</w:t>
      </w:r>
      <w:r>
        <w:t xml:space="preserve">: aparecimento de lesões de DC, sete a dez dias após o contato, sem nova exposição, devido </w:t>
      </w:r>
      <w:proofErr w:type="gramStart"/>
      <w:r>
        <w:t>a</w:t>
      </w:r>
      <w:proofErr w:type="gramEnd"/>
      <w:r>
        <w:t xml:space="preserve"> permanência do AG na pele (geralmente AG fortes como o DNCB).</w:t>
      </w:r>
    </w:p>
    <w:p w:rsidR="00A7017D" w:rsidRDefault="00A7017D" w:rsidP="00DF0550">
      <w:pPr>
        <w:pStyle w:val="Textoindependiente3"/>
        <w:spacing w:line="480" w:lineRule="auto"/>
        <w:ind w:firstLine="567"/>
        <w:jc w:val="left"/>
      </w:pPr>
      <w:r>
        <w:t xml:space="preserve">Na DCA a maioria dos AG são lipofílicos,são apresentados por moléculas MHC – Classe I e ativam clones de  LT CD8+. Os AG hidrofílicos são apresentados por moléculas MHC – Classe II e ativam clones de LT CD4+. </w:t>
      </w:r>
    </w:p>
    <w:p w:rsidR="00A7017D" w:rsidRDefault="00A7017D" w:rsidP="00A7017D">
      <w:pPr>
        <w:tabs>
          <w:tab w:val="num" w:pos="360"/>
        </w:tabs>
        <w:spacing w:line="480" w:lineRule="auto"/>
        <w:jc w:val="both"/>
        <w:rPr>
          <w:color w:val="000000"/>
        </w:rPr>
      </w:pPr>
    </w:p>
    <w:p w:rsidR="00A7017D" w:rsidRDefault="001F000B" w:rsidP="00DF0550">
      <w:pPr>
        <w:spacing w:line="480" w:lineRule="auto"/>
      </w:pPr>
      <w:r>
        <w:rPr>
          <w:b/>
          <w:bCs/>
        </w:rPr>
        <w:t xml:space="preserve">B- </w:t>
      </w:r>
      <w:r w:rsidR="00A7017D">
        <w:rPr>
          <w:b/>
          <w:bCs/>
        </w:rPr>
        <w:t xml:space="preserve">Elicitação ou Desencadeamento ou Fase Eferente </w:t>
      </w:r>
      <w:r w:rsidR="00A7017D">
        <w:t xml:space="preserve">(clínica da DCA): dura de 24 a 48 horas. </w:t>
      </w:r>
    </w:p>
    <w:p w:rsidR="00A7017D" w:rsidRDefault="00A7017D" w:rsidP="00DF0550">
      <w:pPr>
        <w:spacing w:line="480" w:lineRule="auto"/>
        <w:ind w:firstLine="567"/>
      </w:pPr>
      <w:r>
        <w:t xml:space="preserve">Ocorre pela persistência ou reintrodução do AG na pele do indivíduo previamente sensibilizado. O AG se liga a CL, a qual libera citocinas e apresenta o antígeno ao LT CD8+ de memória previamente sensibilizado,específico, que o reconhece e libera inúmeras citocinas inflamatórias (IL1, IL2, IFN e TNF), as quais  ativam os QT e outros LT que também liberam citocinas inflamatórias. São atraídas inicialmente células T CD4+ inespecíficas que não conseguem inibir a reação imunológica contra o AGe, posteriormente, macrófagos ativados que liberam TNF o qual leva a apoptose de QT, </w:t>
      </w:r>
      <w:r>
        <w:lastRenderedPageBreak/>
        <w:t xml:space="preserve">além de outras células como polimorfonucleares e  participação de outros mediadores de inflamação. </w:t>
      </w:r>
    </w:p>
    <w:p w:rsidR="00A7017D" w:rsidRDefault="00A7017D" w:rsidP="00DF0550">
      <w:pPr>
        <w:spacing w:line="480" w:lineRule="auto"/>
        <w:ind w:firstLine="567"/>
        <w:rPr>
          <w:bCs/>
        </w:rPr>
      </w:pPr>
      <w:r w:rsidRPr="00231D0D">
        <w:rPr>
          <w:bCs/>
        </w:rPr>
        <w:t>DCA sistêmica:</w:t>
      </w:r>
      <w:r>
        <w:rPr>
          <w:bCs/>
        </w:rPr>
        <w:t xml:space="preserve">a fase de sensibilização se dá pela via cutânea e a de desencadeamento pelas vias sistêmicas. </w:t>
      </w:r>
    </w:p>
    <w:p w:rsidR="00A7017D" w:rsidRDefault="00A7017D" w:rsidP="00DF0550">
      <w:pPr>
        <w:spacing w:line="480" w:lineRule="auto"/>
        <w:ind w:firstLine="567"/>
        <w:rPr>
          <w:bCs/>
        </w:rPr>
      </w:pPr>
      <w:r>
        <w:rPr>
          <w:bCs/>
        </w:rPr>
        <w:t>DCA endógena: a sensibilização e desencadeamento ocorrem por disseminação hematogênica do AG, tanto pela absorção percutânea como por administração sistêmica.</w:t>
      </w:r>
    </w:p>
    <w:p w:rsidR="00F242B4" w:rsidRDefault="00A7017D" w:rsidP="00DF0550">
      <w:pPr>
        <w:spacing w:line="480" w:lineRule="auto"/>
        <w:ind w:firstLine="567"/>
        <w:rPr>
          <w:bCs/>
        </w:rPr>
      </w:pPr>
      <w:r>
        <w:rPr>
          <w:bCs/>
        </w:rPr>
        <w:t>Para alguns autoresa DCA  sistêmica e endógena são sinônimos. Figura 6</w:t>
      </w:r>
    </w:p>
    <w:p w:rsidR="00A7017D" w:rsidRPr="005810C0" w:rsidRDefault="00A7017D" w:rsidP="00A7017D">
      <w:pPr>
        <w:spacing w:line="480" w:lineRule="auto"/>
        <w:ind w:firstLine="567"/>
        <w:jc w:val="both"/>
        <w:rPr>
          <w:rFonts w:ascii="Arial" w:hAnsi="Arial" w:cs="Arial"/>
          <w:bCs/>
          <w:noProof/>
          <w:sz w:val="28"/>
          <w:szCs w:val="28"/>
          <w:lang w:eastAsia="en-US"/>
        </w:rPr>
      </w:pPr>
      <w:r>
        <w:rPr>
          <w:bCs/>
        </w:rPr>
        <w:t>.</w:t>
      </w:r>
      <w:r w:rsidR="00F242B4">
        <w:rPr>
          <w:rFonts w:ascii="Arial" w:hAnsi="Arial" w:cs="Arial"/>
          <w:bCs/>
          <w:noProof/>
          <w:sz w:val="28"/>
          <w:szCs w:val="28"/>
          <w:lang w:val="en-US" w:eastAsia="en-US"/>
        </w:rPr>
        <w:drawing>
          <wp:inline distT="0" distB="0" distL="0" distR="0">
            <wp:extent cx="1536065" cy="22129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212975"/>
                    </a:xfrm>
                    <a:prstGeom prst="rect">
                      <a:avLst/>
                    </a:prstGeom>
                    <a:noFill/>
                  </pic:spPr>
                </pic:pic>
              </a:graphicData>
            </a:graphic>
          </wp:inline>
        </w:drawing>
      </w:r>
      <w:r w:rsidR="00F242B4">
        <w:rPr>
          <w:rFonts w:ascii="Arial" w:hAnsi="Arial" w:cs="Arial"/>
          <w:bCs/>
          <w:noProof/>
          <w:sz w:val="28"/>
          <w:szCs w:val="28"/>
          <w:lang w:val="en-US" w:eastAsia="en-US"/>
        </w:rPr>
        <w:drawing>
          <wp:inline distT="0" distB="0" distL="0" distR="0">
            <wp:extent cx="1475105" cy="18046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804670"/>
                    </a:xfrm>
                    <a:prstGeom prst="rect">
                      <a:avLst/>
                    </a:prstGeom>
                    <a:noFill/>
                  </pic:spPr>
                </pic:pic>
              </a:graphicData>
            </a:graphic>
          </wp:inline>
        </w:drawing>
      </w:r>
    </w:p>
    <w:p w:rsidR="00F242B4" w:rsidRPr="005C00DE" w:rsidRDefault="00F242B4" w:rsidP="00F242B4">
      <w:pPr>
        <w:rPr>
          <w:rFonts w:ascii="Arial" w:hAnsi="Arial" w:cs="Arial"/>
          <w:sz w:val="28"/>
          <w:szCs w:val="28"/>
        </w:rPr>
      </w:pPr>
      <w:r w:rsidRPr="005C00DE">
        <w:rPr>
          <w:rFonts w:ascii="Arial" w:hAnsi="Arial" w:cs="Arial"/>
          <w:bCs/>
          <w:sz w:val="28"/>
          <w:szCs w:val="28"/>
        </w:rPr>
        <w:t>Figura 6.</w:t>
      </w:r>
      <w:r w:rsidRPr="005C00DE">
        <w:rPr>
          <w:rFonts w:ascii="Arial" w:hAnsi="Arial" w:cs="Arial"/>
          <w:sz w:val="28"/>
          <w:szCs w:val="28"/>
        </w:rPr>
        <w:t xml:space="preserve"> .  DC fotoalérgica com absorção cutânea de pó de sulfa na úlcera de pernacom lesões em áreas expostas   (DC endógena)       </w:t>
      </w:r>
    </w:p>
    <w:p w:rsidR="00F242B4" w:rsidRPr="00231D0D" w:rsidRDefault="00F242B4" w:rsidP="00A7017D">
      <w:pPr>
        <w:spacing w:line="480" w:lineRule="auto"/>
        <w:ind w:firstLine="567"/>
        <w:jc w:val="both"/>
      </w:pPr>
    </w:p>
    <w:p w:rsidR="00A7017D" w:rsidRDefault="00A7017D" w:rsidP="00A7017D">
      <w:pPr>
        <w:spacing w:line="480" w:lineRule="auto"/>
        <w:jc w:val="both"/>
        <w:rPr>
          <w:b/>
          <w:bCs/>
        </w:rPr>
      </w:pPr>
    </w:p>
    <w:p w:rsidR="00A7017D" w:rsidRDefault="00723068" w:rsidP="00DF0550">
      <w:pPr>
        <w:spacing w:line="480" w:lineRule="auto"/>
      </w:pPr>
      <w:r w:rsidRPr="00723068">
        <w:rPr>
          <w:b/>
          <w:bCs/>
        </w:rPr>
        <w:t>C</w:t>
      </w:r>
      <w:r w:rsidR="009E7927">
        <w:rPr>
          <w:b/>
          <w:bCs/>
        </w:rPr>
        <w:t>-</w:t>
      </w:r>
      <w:r>
        <w:rPr>
          <w:b/>
          <w:bCs/>
        </w:rPr>
        <w:t xml:space="preserve"> </w:t>
      </w:r>
      <w:r w:rsidR="00A7017D" w:rsidRPr="00723068">
        <w:rPr>
          <w:b/>
          <w:bCs/>
        </w:rPr>
        <w:t>Resolução</w:t>
      </w:r>
      <w:r w:rsidR="00A7017D">
        <w:rPr>
          <w:b/>
          <w:bCs/>
        </w:rPr>
        <w:t xml:space="preserve"> ou Supressão</w:t>
      </w:r>
      <w:r w:rsidR="00A7017D">
        <w:t xml:space="preserve">: término da reação inflamatória e ocorre após </w:t>
      </w:r>
      <w:proofErr w:type="gramStart"/>
      <w:r w:rsidR="00A7017D">
        <w:t>cerca de 48</w:t>
      </w:r>
      <w:proofErr w:type="gramEnd"/>
      <w:r w:rsidR="00A7017D">
        <w:t xml:space="preserve"> horas após o estímulo antigênico. Nessa fase ocorre inibição da reação imunológica pelas interleucinas IL-10, IFN α,TNF α, fator transformador de crescimento beta (TGF </w:t>
      </w:r>
      <w:r w:rsidR="00A7017D" w:rsidRPr="006521EC">
        <w:rPr>
          <w:bCs/>
        </w:rPr>
        <w:t>β</w:t>
      </w:r>
      <w:r w:rsidR="00A7017D">
        <w:t xml:space="preserve">), protaglandina, mastócitos, basófilos e células reguladoras.  A IL 10 reguladora éresponsável por tolerância aos AG. </w:t>
      </w:r>
    </w:p>
    <w:p w:rsidR="00A7017D" w:rsidRDefault="00A7017D" w:rsidP="00DF0550">
      <w:pPr>
        <w:spacing w:line="480" w:lineRule="auto"/>
        <w:ind w:firstLine="567"/>
      </w:pPr>
      <w:r w:rsidRPr="006451D6">
        <w:rPr>
          <w:bCs/>
        </w:rPr>
        <w:t>Há três tipos de células reguladoras:</w:t>
      </w:r>
      <w:r w:rsidR="00DF0550">
        <w:rPr>
          <w:bCs/>
        </w:rPr>
        <w:t xml:space="preserve"> </w:t>
      </w:r>
      <w:r>
        <w:t xml:space="preserve">Treg T CD4+ CD 25+, T reguladora </w:t>
      </w:r>
      <w:proofErr w:type="gramStart"/>
      <w:r>
        <w:t>1</w:t>
      </w:r>
      <w:proofErr w:type="gramEnd"/>
      <w:r>
        <w:t xml:space="preserve"> (Tr 1)  e LTh 3, que trabalham em sistema de cooperação na supressão.</w:t>
      </w:r>
    </w:p>
    <w:p w:rsidR="00A7017D" w:rsidRDefault="00A7017D" w:rsidP="00DF0550">
      <w:pPr>
        <w:spacing w:line="480" w:lineRule="auto"/>
        <w:ind w:firstLine="567"/>
      </w:pPr>
      <w:r>
        <w:lastRenderedPageBreak/>
        <w:t xml:space="preserve"> Há também mecanismosinespecíficos, como descamação e degradação enzimática. </w:t>
      </w:r>
    </w:p>
    <w:p w:rsidR="00A7017D" w:rsidRDefault="00A7017D" w:rsidP="00DF0550">
      <w:pPr>
        <w:spacing w:line="480" w:lineRule="auto"/>
        <w:ind w:firstLine="567"/>
      </w:pPr>
      <w:r>
        <w:t>Ocorre aindaapoptose de células apresentadoras de AG nos linfonodos.</w:t>
      </w:r>
    </w:p>
    <w:p w:rsidR="00A7017D" w:rsidRDefault="00A7017D" w:rsidP="00DF0550">
      <w:pPr>
        <w:pStyle w:val="Sangra2detindependiente"/>
        <w:spacing w:line="480" w:lineRule="auto"/>
        <w:ind w:left="0" w:firstLine="567"/>
        <w:jc w:val="left"/>
      </w:pPr>
      <w:r>
        <w:t>Os imunopeptídios do sistema nervoso e enzimaconversora de angiotensina (ECA) aumentam a substância P e a bradicinina, as quais também  inibem a DCA.</w:t>
      </w:r>
    </w:p>
    <w:p w:rsidR="00A7017D" w:rsidRDefault="00A7017D" w:rsidP="00DF0550">
      <w:pPr>
        <w:spacing w:line="480" w:lineRule="auto"/>
        <w:ind w:firstLine="567"/>
      </w:pPr>
      <w:r>
        <w:t xml:space="preserve">A própria IL1 do LT CD8+e QT media o eixo hipotálamo – pituitária – adrenal, diminuindo a inflamação. </w:t>
      </w:r>
    </w:p>
    <w:p w:rsidR="00A7017D" w:rsidRDefault="00A7017D" w:rsidP="00DF0550">
      <w:pPr>
        <w:spacing w:line="480" w:lineRule="auto"/>
        <w:ind w:firstLine="567"/>
      </w:pPr>
    </w:p>
    <w:p w:rsidR="00A7017D" w:rsidRPr="00090815" w:rsidRDefault="00A7017D" w:rsidP="00DF0550">
      <w:pPr>
        <w:spacing w:line="480" w:lineRule="auto"/>
        <w:rPr>
          <w:sz w:val="32"/>
          <w:szCs w:val="32"/>
        </w:rPr>
      </w:pPr>
      <w:r w:rsidRPr="00000238">
        <w:rPr>
          <w:b/>
          <w:sz w:val="28"/>
          <w:szCs w:val="28"/>
        </w:rPr>
        <w:t>DC FOTOTÓXICA E FOTOALÉRGICA</w:t>
      </w:r>
    </w:p>
    <w:p w:rsidR="00A7017D" w:rsidRDefault="00A7017D" w:rsidP="00DF0550">
      <w:pPr>
        <w:spacing w:line="480" w:lineRule="auto"/>
        <w:ind w:firstLine="567"/>
      </w:pPr>
      <w:r>
        <w:t>Na DC fototóxica efotoalérgica  o mecanismo fisiopatogênico  é o mesmo que na DCI e DCA respectivamente,  porém  a presença da luz ultravioleta se faz necessária para que a substância se torne  irritante ou sensibilizante.</w:t>
      </w:r>
    </w:p>
    <w:p w:rsidR="00A7017D" w:rsidRDefault="00A7017D" w:rsidP="00DF0550">
      <w:pPr>
        <w:spacing w:line="480" w:lineRule="auto"/>
        <w:ind w:firstLine="567"/>
        <w:rPr>
          <w:sz w:val="22"/>
          <w:szCs w:val="22"/>
        </w:rPr>
      </w:pPr>
    </w:p>
    <w:p w:rsidR="00A7017D" w:rsidRDefault="00A7017D" w:rsidP="00DF0550">
      <w:pPr>
        <w:spacing w:line="480" w:lineRule="auto"/>
        <w:ind w:firstLine="567"/>
        <w:rPr>
          <w:sz w:val="22"/>
          <w:szCs w:val="22"/>
        </w:rPr>
      </w:pPr>
    </w:p>
    <w:p w:rsidR="00A7017D" w:rsidRPr="00000238" w:rsidRDefault="00A7017D" w:rsidP="00DF0550">
      <w:pPr>
        <w:spacing w:line="480" w:lineRule="auto"/>
      </w:pPr>
      <w:r w:rsidRPr="00000238">
        <w:t>FATORES</w:t>
      </w:r>
      <w:proofErr w:type="gramStart"/>
      <w:r w:rsidR="00317494">
        <w:t xml:space="preserve">   </w:t>
      </w:r>
      <w:proofErr w:type="gramEnd"/>
      <w:r w:rsidRPr="00000238">
        <w:t xml:space="preserve">FACILITADORES </w:t>
      </w:r>
      <w:r w:rsidR="00317494">
        <w:t xml:space="preserve">  </w:t>
      </w:r>
      <w:r w:rsidRPr="00000238">
        <w:t>DE</w:t>
      </w:r>
      <w:r w:rsidR="00317494">
        <w:t xml:space="preserve">  </w:t>
      </w:r>
      <w:r w:rsidRPr="00000238">
        <w:t xml:space="preserve"> DC</w:t>
      </w:r>
    </w:p>
    <w:p w:rsidR="00A7017D" w:rsidRDefault="00A7017D" w:rsidP="00DF0550">
      <w:pPr>
        <w:tabs>
          <w:tab w:val="left" w:pos="6600"/>
        </w:tabs>
        <w:spacing w:line="480" w:lineRule="auto"/>
        <w:ind w:firstLine="567"/>
        <w:rPr>
          <w:rFonts w:ascii="Arial" w:hAnsi="Arial" w:cs="Arial"/>
          <w:bCs/>
        </w:rPr>
      </w:pPr>
      <w:r>
        <w:t xml:space="preserve">Frequentemente a DCA e a DCIsão vistos ao mesmo tempo, e muitas substâncias químicas podem agir tanto como irritantes quanto como alergenos. A DCI também predispõe à DCA por seu comprometimento na função de barreira da pele, o que facilita a penetração de </w:t>
      </w:r>
      <w:r>
        <w:rPr>
          <w:lang w:val="fr-FR"/>
        </w:rPr>
        <w:t>agentes alergizantes.</w:t>
      </w:r>
      <w:r w:rsidR="00F860F5">
        <w:rPr>
          <w:lang w:val="fr-FR"/>
        </w:rPr>
        <w:t xml:space="preserve"> </w:t>
      </w:r>
      <w:r>
        <w:rPr>
          <w:bCs/>
        </w:rPr>
        <w:t xml:space="preserve">Pacientes com DCI de mãos apresentam maior predisposição à sensibilização, desencadeada principalmente por substâncias utilizadas para o tratamento da dermatite, como os medicamentos tópicos e por componentes das luvas de </w:t>
      </w:r>
      <w:proofErr w:type="gramStart"/>
      <w:r>
        <w:rPr>
          <w:bCs/>
        </w:rPr>
        <w:t>borracha</w:t>
      </w:r>
      <w:r>
        <w:rPr>
          <w:rFonts w:ascii="(Usar fonte para texto asiático" w:hAnsi="(Usar fonte para texto asiático"/>
          <w:vertAlign w:val="superscript"/>
        </w:rPr>
        <w:t>9,</w:t>
      </w:r>
      <w:proofErr w:type="gramEnd"/>
      <w:r>
        <w:rPr>
          <w:rFonts w:ascii="(Usar fonte para texto asiático" w:hAnsi="(Usar fonte para texto asiático"/>
          <w:vertAlign w:val="superscript"/>
        </w:rPr>
        <w:t>10</w:t>
      </w:r>
      <w:r>
        <w:rPr>
          <w:rFonts w:ascii="Arial" w:hAnsi="Arial" w:cs="Arial"/>
          <w:bCs/>
        </w:rPr>
        <w:t>.</w:t>
      </w:r>
    </w:p>
    <w:p w:rsidR="00A7017D" w:rsidRPr="00C9396A" w:rsidRDefault="00A7017D" w:rsidP="00DF0550">
      <w:pPr>
        <w:tabs>
          <w:tab w:val="left" w:pos="6600"/>
        </w:tabs>
        <w:spacing w:line="480" w:lineRule="auto"/>
        <w:ind w:firstLine="426"/>
        <w:rPr>
          <w:bCs/>
        </w:rPr>
      </w:pPr>
      <w:r w:rsidRPr="00C9396A">
        <w:rPr>
          <w:bCs/>
        </w:rPr>
        <w:t>O irritante també</w:t>
      </w:r>
      <w:r>
        <w:rPr>
          <w:bCs/>
        </w:rPr>
        <w:t xml:space="preserve">m aumenta IL </w:t>
      </w:r>
      <w:proofErr w:type="gramStart"/>
      <w:r>
        <w:rPr>
          <w:bCs/>
        </w:rPr>
        <w:t>1</w:t>
      </w:r>
      <w:proofErr w:type="gramEnd"/>
      <w:r w:rsidRPr="006521EC">
        <w:rPr>
          <w:bCs/>
        </w:rPr>
        <w:t>β</w:t>
      </w:r>
      <w:r>
        <w:rPr>
          <w:bCs/>
        </w:rPr>
        <w:t xml:space="preserve">, IL 6 e  diminui IL 10 e assim favorece a maturação das CL  e a DCA. </w:t>
      </w:r>
    </w:p>
    <w:p w:rsidR="00A7017D" w:rsidRDefault="00A7017D" w:rsidP="00DF0550">
      <w:pPr>
        <w:spacing w:line="480" w:lineRule="auto"/>
        <w:ind w:firstLine="426"/>
      </w:pPr>
      <w:r>
        <w:rPr>
          <w:bCs/>
        </w:rPr>
        <w:lastRenderedPageBreak/>
        <w:t xml:space="preserve">Vários fatores interferem na sensibilização pelo AG como: poder alergizante, lipofilia, concentração, estado físico, </w:t>
      </w:r>
      <w:proofErr w:type="gramStart"/>
      <w:r>
        <w:rPr>
          <w:bCs/>
        </w:rPr>
        <w:t>pH</w:t>
      </w:r>
      <w:proofErr w:type="gramEnd"/>
      <w:r>
        <w:rPr>
          <w:bCs/>
        </w:rPr>
        <w:t xml:space="preserve">, peso molecular, reatividade química, atividade proinflamatória, capacidade de induzir a maturação e atividade das CL,  integridade da superfície cutânea, local de exposição ao alergeno, pH da pele, capacidade reacional individual, tempo de exposição, temperatura ambiente, pressão, atrito e oclusão </w:t>
      </w:r>
      <w:r>
        <w:rPr>
          <w:rFonts w:ascii="(Usar fonte para texto asiático" w:hAnsi="(Usar fonte para texto asiático"/>
          <w:vertAlign w:val="superscript"/>
        </w:rPr>
        <w:t>11,12</w:t>
      </w:r>
      <w:r>
        <w:t>.</w:t>
      </w:r>
    </w:p>
    <w:p w:rsidR="00A7017D" w:rsidRPr="00467B38" w:rsidRDefault="00A7017D" w:rsidP="00DF0550"/>
    <w:p w:rsidR="00A7017D" w:rsidRPr="00000238" w:rsidRDefault="00A7017D" w:rsidP="00DF0550">
      <w:pPr>
        <w:spacing w:line="480" w:lineRule="auto"/>
        <w:rPr>
          <w:b/>
          <w:sz w:val="32"/>
          <w:szCs w:val="32"/>
        </w:rPr>
      </w:pPr>
      <w:r w:rsidRPr="00000238">
        <w:rPr>
          <w:b/>
          <w:sz w:val="32"/>
          <w:szCs w:val="32"/>
        </w:rPr>
        <w:t>QUADRO CLÍNICO</w:t>
      </w:r>
    </w:p>
    <w:p w:rsidR="00A7017D" w:rsidRDefault="00A7017D" w:rsidP="00DF0550"/>
    <w:p w:rsidR="00A7017D" w:rsidRDefault="00A7017D" w:rsidP="00DF0550">
      <w:pPr>
        <w:spacing w:line="480" w:lineRule="auto"/>
        <w:ind w:firstLine="567"/>
        <w:rPr>
          <w:rFonts w:ascii="Arial" w:hAnsi="Arial" w:cs="Arial"/>
          <w:noProof/>
          <w:sz w:val="28"/>
          <w:szCs w:val="28"/>
          <w:lang w:val="en-US" w:eastAsia="en-US"/>
        </w:rPr>
      </w:pPr>
      <w:r>
        <w:t>As DCI eDCA têm quadro clínico semelhante tipo eczematoso</w:t>
      </w:r>
      <w:r>
        <w:rPr>
          <w:rFonts w:ascii="(Usar fonte para texto asiático" w:hAnsi="(Usar fonte para texto asiático"/>
          <w:vertAlign w:val="superscript"/>
        </w:rPr>
        <w:t>1</w:t>
      </w:r>
      <w:r>
        <w:t>. As lesões podem ser de eczema agudo (predominância de eritema, edema, vesículas, bolhas e exsudato), subagudo (predominância de exsudato e crostas) ou crônico (predominância de queratose, liquenificação, descamação e fissuras). Figuras 5, 7, 8, 9, 10,11, 12, 13, 14, 15, 16, 17.</w:t>
      </w:r>
    </w:p>
    <w:p w:rsidR="007F2258" w:rsidRDefault="007F2258" w:rsidP="00A7017D">
      <w:pPr>
        <w:spacing w:line="480" w:lineRule="auto"/>
        <w:ind w:firstLine="567"/>
        <w:jc w:val="both"/>
      </w:pPr>
      <w:r>
        <w:rPr>
          <w:rFonts w:ascii="Arial" w:hAnsi="Arial" w:cs="Arial"/>
          <w:noProof/>
          <w:sz w:val="28"/>
          <w:szCs w:val="28"/>
          <w:lang w:val="en-US" w:eastAsia="en-US"/>
        </w:rPr>
        <w:drawing>
          <wp:inline distT="0" distB="0" distL="0" distR="0">
            <wp:extent cx="3042285" cy="196913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1969135"/>
                    </a:xfrm>
                    <a:prstGeom prst="rect">
                      <a:avLst/>
                    </a:prstGeom>
                    <a:noFill/>
                  </pic:spPr>
                </pic:pic>
              </a:graphicData>
            </a:graphic>
          </wp:inline>
        </w:drawing>
      </w:r>
    </w:p>
    <w:p w:rsidR="007F2258" w:rsidRDefault="007F2258" w:rsidP="007F2258">
      <w:pPr>
        <w:rPr>
          <w:rFonts w:ascii="Arial" w:hAnsi="Arial" w:cs="Arial"/>
          <w:sz w:val="28"/>
          <w:szCs w:val="28"/>
        </w:rPr>
      </w:pPr>
      <w:r w:rsidRPr="003D5A95">
        <w:rPr>
          <w:rFonts w:ascii="Arial" w:hAnsi="Arial" w:cs="Arial"/>
          <w:sz w:val="28"/>
          <w:szCs w:val="28"/>
        </w:rPr>
        <w:t>Figura 8. DCA aguda por cromo de cimento empedreiro</w:t>
      </w:r>
    </w:p>
    <w:p w:rsidR="007F2258" w:rsidRDefault="007F2258" w:rsidP="007F2258">
      <w:pPr>
        <w:rPr>
          <w:rFonts w:ascii="Arial" w:hAnsi="Arial" w:cs="Arial"/>
          <w:sz w:val="28"/>
          <w:szCs w:val="28"/>
        </w:rPr>
      </w:pPr>
    </w:p>
    <w:p w:rsidR="00090815" w:rsidRPr="003D5A95" w:rsidRDefault="00090815" w:rsidP="007F2258">
      <w:pPr>
        <w:rPr>
          <w:rFonts w:ascii="Arial" w:hAnsi="Arial" w:cs="Arial"/>
          <w:sz w:val="28"/>
          <w:szCs w:val="28"/>
        </w:rPr>
      </w:pPr>
    </w:p>
    <w:p w:rsidR="007F2258" w:rsidRDefault="007F2258" w:rsidP="00A7017D">
      <w:pPr>
        <w:spacing w:line="480" w:lineRule="auto"/>
        <w:ind w:firstLine="567"/>
        <w:jc w:val="both"/>
      </w:pPr>
      <w:r>
        <w:rPr>
          <w:rFonts w:ascii="Arial" w:hAnsi="Arial" w:cs="Arial"/>
          <w:noProof/>
          <w:sz w:val="28"/>
          <w:szCs w:val="28"/>
          <w:lang w:val="en-US" w:eastAsia="en-US"/>
        </w:rPr>
        <w:lastRenderedPageBreak/>
        <w:drawing>
          <wp:inline distT="0" distB="0" distL="0" distR="0">
            <wp:extent cx="1798320" cy="19627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1962785"/>
                    </a:xfrm>
                    <a:prstGeom prst="rect">
                      <a:avLst/>
                    </a:prstGeom>
                    <a:noFill/>
                  </pic:spPr>
                </pic:pic>
              </a:graphicData>
            </a:graphic>
          </wp:inline>
        </w:drawing>
      </w:r>
    </w:p>
    <w:p w:rsidR="007F2258" w:rsidRDefault="007F2258" w:rsidP="00A7017D">
      <w:pPr>
        <w:spacing w:line="480" w:lineRule="auto"/>
        <w:ind w:firstLine="567"/>
        <w:jc w:val="both"/>
        <w:rPr>
          <w:rFonts w:ascii="Arial" w:hAnsi="Arial" w:cs="Arial"/>
          <w:bCs/>
          <w:sz w:val="28"/>
          <w:szCs w:val="28"/>
        </w:rPr>
      </w:pPr>
      <w:r w:rsidRPr="003D5A95">
        <w:rPr>
          <w:rFonts w:ascii="Arial" w:hAnsi="Arial" w:cs="Arial"/>
          <w:bCs/>
          <w:sz w:val="28"/>
          <w:szCs w:val="28"/>
        </w:rPr>
        <w:t>Figura 9. DCA liquenóide por reveladores fotográficos</w:t>
      </w:r>
    </w:p>
    <w:p w:rsidR="007F2258" w:rsidRDefault="007F2258" w:rsidP="00A7017D">
      <w:pPr>
        <w:spacing w:line="480" w:lineRule="auto"/>
        <w:ind w:firstLine="567"/>
        <w:jc w:val="both"/>
      </w:pPr>
      <w:r>
        <w:rPr>
          <w:noProof/>
          <w:lang w:val="en-US" w:eastAsia="en-US"/>
        </w:rPr>
        <w:drawing>
          <wp:inline distT="0" distB="0" distL="0" distR="0">
            <wp:extent cx="2121535" cy="1664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1664335"/>
                    </a:xfrm>
                    <a:prstGeom prst="rect">
                      <a:avLst/>
                    </a:prstGeom>
                    <a:noFill/>
                  </pic:spPr>
                </pic:pic>
              </a:graphicData>
            </a:graphic>
          </wp:inline>
        </w:drawing>
      </w:r>
    </w:p>
    <w:p w:rsidR="007F2258" w:rsidRDefault="007F2258" w:rsidP="007F2258">
      <w:pPr>
        <w:rPr>
          <w:rFonts w:ascii="Arial" w:hAnsi="Arial" w:cs="Arial"/>
          <w:sz w:val="28"/>
          <w:szCs w:val="28"/>
        </w:rPr>
      </w:pPr>
      <w:r w:rsidRPr="003D5A95">
        <w:rPr>
          <w:rFonts w:ascii="Arial" w:hAnsi="Arial" w:cs="Arial"/>
          <w:sz w:val="28"/>
          <w:szCs w:val="28"/>
        </w:rPr>
        <w:t>Figura 10. DCA crônica por cromo de cimento em pedreiro</w:t>
      </w:r>
    </w:p>
    <w:p w:rsidR="007F2258" w:rsidRDefault="007F2258" w:rsidP="00A7017D">
      <w:pPr>
        <w:spacing w:line="480" w:lineRule="auto"/>
        <w:ind w:firstLine="567"/>
        <w:jc w:val="both"/>
      </w:pPr>
      <w:r>
        <w:rPr>
          <w:rFonts w:ascii="Arial" w:hAnsi="Arial" w:cs="Arial"/>
          <w:noProof/>
          <w:sz w:val="28"/>
          <w:szCs w:val="28"/>
          <w:lang w:val="en-US" w:eastAsia="en-US"/>
        </w:rPr>
        <w:drawing>
          <wp:inline distT="0" distB="0" distL="0" distR="0">
            <wp:extent cx="1798320" cy="1962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8320" cy="1962785"/>
                    </a:xfrm>
                    <a:prstGeom prst="rect">
                      <a:avLst/>
                    </a:prstGeom>
                    <a:noFill/>
                  </pic:spPr>
                </pic:pic>
              </a:graphicData>
            </a:graphic>
          </wp:inline>
        </w:drawing>
      </w:r>
    </w:p>
    <w:p w:rsidR="007F2258" w:rsidRDefault="007F2258" w:rsidP="007F2258">
      <w:pPr>
        <w:rPr>
          <w:rFonts w:ascii="Arial" w:hAnsi="Arial" w:cs="Arial"/>
          <w:sz w:val="28"/>
          <w:szCs w:val="28"/>
        </w:rPr>
      </w:pPr>
      <w:r w:rsidRPr="003D5A95">
        <w:rPr>
          <w:rFonts w:ascii="Arial" w:hAnsi="Arial" w:cs="Arial"/>
          <w:sz w:val="28"/>
          <w:szCs w:val="28"/>
        </w:rPr>
        <w:t>Figura 11. DCA por prímula em florista</w:t>
      </w:r>
    </w:p>
    <w:p w:rsidR="007F2258" w:rsidRDefault="007F2258" w:rsidP="00A7017D">
      <w:pPr>
        <w:spacing w:line="480" w:lineRule="auto"/>
        <w:ind w:firstLine="567"/>
        <w:jc w:val="both"/>
      </w:pPr>
      <w:r>
        <w:rPr>
          <w:rFonts w:ascii="Arial" w:hAnsi="Arial" w:cs="Arial"/>
          <w:noProof/>
          <w:sz w:val="28"/>
          <w:szCs w:val="28"/>
          <w:lang w:val="en-US" w:eastAsia="en-US"/>
        </w:rPr>
        <w:drawing>
          <wp:inline distT="0" distB="0" distL="0" distR="0">
            <wp:extent cx="1798320" cy="11036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103630"/>
                    </a:xfrm>
                    <a:prstGeom prst="rect">
                      <a:avLst/>
                    </a:prstGeom>
                    <a:noFill/>
                  </pic:spPr>
                </pic:pic>
              </a:graphicData>
            </a:graphic>
          </wp:inline>
        </w:drawing>
      </w:r>
      <w:r>
        <w:rPr>
          <w:rFonts w:ascii="Arial" w:hAnsi="Arial" w:cs="Arial"/>
          <w:noProof/>
          <w:sz w:val="28"/>
          <w:szCs w:val="28"/>
          <w:lang w:val="en-US" w:eastAsia="en-US"/>
        </w:rPr>
        <w:drawing>
          <wp:inline distT="0" distB="0" distL="0" distR="0">
            <wp:extent cx="1298575" cy="11036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1103630"/>
                    </a:xfrm>
                    <a:prstGeom prst="rect">
                      <a:avLst/>
                    </a:prstGeom>
                    <a:noFill/>
                  </pic:spPr>
                </pic:pic>
              </a:graphicData>
            </a:graphic>
          </wp:inline>
        </w:drawing>
      </w:r>
    </w:p>
    <w:p w:rsidR="007F2258" w:rsidRDefault="007F2258" w:rsidP="007F2258">
      <w:pPr>
        <w:rPr>
          <w:rFonts w:ascii="Arial" w:hAnsi="Arial" w:cs="Arial"/>
          <w:sz w:val="28"/>
          <w:szCs w:val="28"/>
        </w:rPr>
      </w:pPr>
      <w:r w:rsidRPr="0029176D">
        <w:rPr>
          <w:rFonts w:ascii="Arial" w:hAnsi="Arial" w:cs="Arial"/>
          <w:sz w:val="28"/>
          <w:szCs w:val="28"/>
        </w:rPr>
        <w:t>Figura 12. DCA por esmalte de unhas</w:t>
      </w:r>
    </w:p>
    <w:p w:rsidR="007F2258" w:rsidRDefault="007F2258" w:rsidP="00A7017D">
      <w:pPr>
        <w:spacing w:line="480" w:lineRule="auto"/>
        <w:ind w:firstLine="567"/>
        <w:jc w:val="both"/>
      </w:pPr>
    </w:p>
    <w:p w:rsidR="007F2258" w:rsidRDefault="007F2258" w:rsidP="00A7017D">
      <w:pPr>
        <w:spacing w:line="480" w:lineRule="auto"/>
        <w:ind w:firstLine="567"/>
        <w:jc w:val="both"/>
      </w:pPr>
      <w:r w:rsidRPr="0029176D">
        <w:rPr>
          <w:rFonts w:ascii="Arial" w:hAnsi="Arial" w:cs="Arial"/>
          <w:noProof/>
          <w:sz w:val="28"/>
          <w:szCs w:val="28"/>
          <w:lang w:val="en-US" w:eastAsia="en-US"/>
        </w:rPr>
        <w:lastRenderedPageBreak/>
        <w:drawing>
          <wp:inline distT="0" distB="0" distL="0" distR="0">
            <wp:extent cx="1945005" cy="20364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5005" cy="2036445"/>
                    </a:xfrm>
                    <a:prstGeom prst="rect">
                      <a:avLst/>
                    </a:prstGeom>
                    <a:noFill/>
                  </pic:spPr>
                </pic:pic>
              </a:graphicData>
            </a:graphic>
          </wp:inline>
        </w:drawing>
      </w:r>
    </w:p>
    <w:p w:rsidR="007F2258" w:rsidRDefault="007F2258" w:rsidP="00A7017D">
      <w:pPr>
        <w:spacing w:line="480" w:lineRule="auto"/>
        <w:ind w:firstLine="567"/>
        <w:jc w:val="both"/>
        <w:rPr>
          <w:rFonts w:ascii="Arial" w:hAnsi="Arial" w:cs="Arial"/>
          <w:sz w:val="28"/>
          <w:szCs w:val="28"/>
        </w:rPr>
      </w:pPr>
      <w:r w:rsidRPr="0029176D">
        <w:rPr>
          <w:rFonts w:ascii="Arial" w:hAnsi="Arial" w:cs="Arial"/>
          <w:sz w:val="28"/>
          <w:szCs w:val="28"/>
        </w:rPr>
        <w:t>Figura 13. DCA por tintura de cabelos (parafenilenodiamina)</w:t>
      </w:r>
    </w:p>
    <w:p w:rsidR="007F2258" w:rsidRDefault="007F2258" w:rsidP="007F2258">
      <w:pPr>
        <w:rPr>
          <w:rFonts w:ascii="Arial" w:hAnsi="Arial" w:cs="Arial"/>
          <w:b/>
          <w:bCs/>
          <w:sz w:val="28"/>
          <w:szCs w:val="28"/>
        </w:rPr>
      </w:pPr>
    </w:p>
    <w:p w:rsidR="007F2258" w:rsidRDefault="007F2258" w:rsidP="00A7017D">
      <w:pPr>
        <w:spacing w:line="480" w:lineRule="auto"/>
        <w:ind w:firstLine="567"/>
        <w:jc w:val="both"/>
        <w:rPr>
          <w:rFonts w:ascii="Arial" w:hAnsi="Arial" w:cs="Arial"/>
          <w:sz w:val="28"/>
          <w:szCs w:val="28"/>
        </w:rPr>
      </w:pPr>
      <w:r>
        <w:rPr>
          <w:rFonts w:ascii="Arial" w:hAnsi="Arial" w:cs="Arial"/>
          <w:noProof/>
          <w:sz w:val="28"/>
          <w:szCs w:val="28"/>
          <w:lang w:val="en-US" w:eastAsia="en-US"/>
        </w:rPr>
        <w:drawing>
          <wp:inline distT="0" distB="0" distL="0" distR="0">
            <wp:extent cx="1871345" cy="21215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345" cy="2121535"/>
                    </a:xfrm>
                    <a:prstGeom prst="rect">
                      <a:avLst/>
                    </a:prstGeom>
                    <a:noFill/>
                  </pic:spPr>
                </pic:pic>
              </a:graphicData>
            </a:graphic>
          </wp:inline>
        </w:drawing>
      </w:r>
    </w:p>
    <w:p w:rsidR="007F2258" w:rsidRDefault="007F2258" w:rsidP="00A7017D">
      <w:pPr>
        <w:spacing w:line="480" w:lineRule="auto"/>
        <w:ind w:firstLine="567"/>
        <w:jc w:val="both"/>
        <w:rPr>
          <w:rFonts w:ascii="Arial" w:hAnsi="Arial" w:cs="Arial"/>
          <w:b/>
          <w:bCs/>
          <w:sz w:val="28"/>
          <w:szCs w:val="28"/>
        </w:rPr>
      </w:pPr>
      <w:r w:rsidRPr="003C1196">
        <w:rPr>
          <w:rFonts w:ascii="Arial" w:hAnsi="Arial" w:cs="Arial"/>
          <w:sz w:val="28"/>
          <w:szCs w:val="28"/>
        </w:rPr>
        <w:t>Figura 14. DCApor cloranfenicol otológico</w:t>
      </w:r>
    </w:p>
    <w:p w:rsidR="007F2258" w:rsidRDefault="007F2258" w:rsidP="00A7017D">
      <w:pPr>
        <w:spacing w:line="480" w:lineRule="auto"/>
        <w:ind w:firstLine="567"/>
        <w:jc w:val="both"/>
        <w:rPr>
          <w:rFonts w:ascii="Arial" w:hAnsi="Arial" w:cs="Arial"/>
          <w:sz w:val="28"/>
          <w:szCs w:val="28"/>
        </w:rPr>
      </w:pPr>
      <w:r>
        <w:rPr>
          <w:rFonts w:ascii="Arial" w:hAnsi="Arial" w:cs="Arial"/>
          <w:noProof/>
          <w:sz w:val="28"/>
          <w:szCs w:val="28"/>
          <w:lang w:val="en-US" w:eastAsia="en-US"/>
        </w:rPr>
        <w:drawing>
          <wp:inline distT="0" distB="0" distL="0" distR="0">
            <wp:extent cx="1548765" cy="20059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2005965"/>
                    </a:xfrm>
                    <a:prstGeom prst="rect">
                      <a:avLst/>
                    </a:prstGeom>
                    <a:noFill/>
                  </pic:spPr>
                </pic:pic>
              </a:graphicData>
            </a:graphic>
          </wp:inline>
        </w:drawing>
      </w:r>
    </w:p>
    <w:p w:rsidR="007F2258" w:rsidRPr="003C1196" w:rsidRDefault="007F2258" w:rsidP="007F2258">
      <w:pPr>
        <w:rPr>
          <w:rFonts w:ascii="Arial" w:hAnsi="Arial" w:cs="Arial"/>
          <w:sz w:val="28"/>
          <w:szCs w:val="28"/>
        </w:rPr>
      </w:pPr>
      <w:r w:rsidRPr="003C1196">
        <w:rPr>
          <w:rFonts w:ascii="Arial" w:hAnsi="Arial" w:cs="Arial"/>
          <w:sz w:val="28"/>
          <w:szCs w:val="28"/>
        </w:rPr>
        <w:t xml:space="preserve">Figura 15. DCA por neomicina </w:t>
      </w:r>
    </w:p>
    <w:p w:rsidR="007F2258" w:rsidRDefault="007F2258" w:rsidP="00A7017D">
      <w:pPr>
        <w:spacing w:line="480" w:lineRule="auto"/>
        <w:ind w:firstLine="567"/>
        <w:jc w:val="both"/>
        <w:rPr>
          <w:rFonts w:ascii="Arial" w:hAnsi="Arial" w:cs="Arial"/>
          <w:sz w:val="28"/>
          <w:szCs w:val="28"/>
        </w:rPr>
      </w:pPr>
      <w:r>
        <w:rPr>
          <w:rFonts w:ascii="Arial" w:hAnsi="Arial" w:cs="Arial"/>
          <w:noProof/>
          <w:sz w:val="28"/>
          <w:szCs w:val="28"/>
          <w:lang w:val="en-US" w:eastAsia="en-US"/>
        </w:rPr>
        <w:lastRenderedPageBreak/>
        <w:drawing>
          <wp:inline distT="0" distB="0" distL="0" distR="0">
            <wp:extent cx="1999615" cy="164020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1640205"/>
                    </a:xfrm>
                    <a:prstGeom prst="rect">
                      <a:avLst/>
                    </a:prstGeom>
                    <a:noFill/>
                  </pic:spPr>
                </pic:pic>
              </a:graphicData>
            </a:graphic>
          </wp:inline>
        </w:drawing>
      </w:r>
    </w:p>
    <w:p w:rsidR="007F2258" w:rsidRDefault="007F2258" w:rsidP="007F2258">
      <w:pPr>
        <w:rPr>
          <w:rFonts w:ascii="Arial" w:hAnsi="Arial" w:cs="Arial"/>
          <w:sz w:val="28"/>
          <w:szCs w:val="28"/>
        </w:rPr>
      </w:pPr>
      <w:r w:rsidRPr="003C1196">
        <w:rPr>
          <w:rFonts w:ascii="Arial" w:hAnsi="Arial" w:cs="Arial"/>
          <w:sz w:val="28"/>
          <w:szCs w:val="28"/>
        </w:rPr>
        <w:t>Figura 16. DCA por sandália de borracha com infecção secundária</w:t>
      </w:r>
    </w:p>
    <w:p w:rsidR="007F2258" w:rsidRDefault="007F2258" w:rsidP="00A7017D">
      <w:pPr>
        <w:spacing w:line="480" w:lineRule="auto"/>
        <w:ind w:firstLine="567"/>
        <w:jc w:val="both"/>
        <w:rPr>
          <w:rFonts w:ascii="Arial" w:hAnsi="Arial" w:cs="Arial"/>
          <w:sz w:val="28"/>
          <w:szCs w:val="28"/>
        </w:rPr>
      </w:pPr>
      <w:r>
        <w:rPr>
          <w:rFonts w:ascii="Arial" w:hAnsi="Arial" w:cs="Arial"/>
          <w:noProof/>
          <w:sz w:val="28"/>
          <w:szCs w:val="28"/>
          <w:lang w:val="en-US" w:eastAsia="en-US"/>
        </w:rPr>
        <w:drawing>
          <wp:inline distT="0" distB="0" distL="0" distR="0">
            <wp:extent cx="1810385" cy="17011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701165"/>
                    </a:xfrm>
                    <a:prstGeom prst="rect">
                      <a:avLst/>
                    </a:prstGeom>
                    <a:noFill/>
                  </pic:spPr>
                </pic:pic>
              </a:graphicData>
            </a:graphic>
          </wp:inline>
        </w:drawing>
      </w:r>
    </w:p>
    <w:p w:rsidR="007F2258" w:rsidRPr="003C1196" w:rsidRDefault="007F2258" w:rsidP="007F2258">
      <w:pPr>
        <w:rPr>
          <w:rFonts w:ascii="Arial" w:hAnsi="Arial" w:cs="Arial"/>
          <w:sz w:val="28"/>
          <w:szCs w:val="28"/>
        </w:rPr>
      </w:pPr>
      <w:r w:rsidRPr="003C1196">
        <w:rPr>
          <w:rFonts w:ascii="Arial" w:hAnsi="Arial" w:cs="Arial"/>
          <w:sz w:val="28"/>
          <w:szCs w:val="28"/>
        </w:rPr>
        <w:t>Figura 17. DCA por níquel de relógio</w:t>
      </w:r>
    </w:p>
    <w:p w:rsidR="007F2258" w:rsidRDefault="007F2258" w:rsidP="00A7017D">
      <w:pPr>
        <w:spacing w:line="480" w:lineRule="auto"/>
        <w:ind w:firstLine="567"/>
        <w:jc w:val="both"/>
        <w:rPr>
          <w:rFonts w:ascii="Arial" w:hAnsi="Arial" w:cs="Arial"/>
          <w:sz w:val="28"/>
          <w:szCs w:val="28"/>
        </w:rPr>
      </w:pPr>
    </w:p>
    <w:p w:rsidR="007F2258" w:rsidRDefault="007F2258" w:rsidP="00A7017D">
      <w:pPr>
        <w:spacing w:line="480" w:lineRule="auto"/>
        <w:ind w:firstLine="567"/>
        <w:jc w:val="both"/>
        <w:rPr>
          <w:rFonts w:ascii="Arial" w:hAnsi="Arial" w:cs="Arial"/>
          <w:sz w:val="28"/>
          <w:szCs w:val="28"/>
        </w:rPr>
      </w:pPr>
    </w:p>
    <w:p w:rsidR="007F2258" w:rsidRDefault="007F2258" w:rsidP="00A7017D">
      <w:pPr>
        <w:spacing w:line="480" w:lineRule="auto"/>
        <w:ind w:firstLine="567"/>
        <w:jc w:val="both"/>
      </w:pPr>
    </w:p>
    <w:p w:rsidR="007F2258" w:rsidRPr="00090815" w:rsidRDefault="00A7017D" w:rsidP="00DF0550">
      <w:pPr>
        <w:spacing w:line="480" w:lineRule="auto"/>
        <w:ind w:firstLine="567"/>
        <w:rPr>
          <w:rFonts w:ascii="Arial" w:hAnsi="Arial" w:cs="Arial"/>
          <w:noProof/>
          <w:sz w:val="28"/>
          <w:szCs w:val="28"/>
          <w:lang w:val="es-VE" w:eastAsia="en-US"/>
        </w:rPr>
      </w:pPr>
      <w:r>
        <w:t>Na DCApodem ser observadas lesões não eczematosas ( urticarianas, papulosas, liquenóides, purpúricas, hipercrômicas, hipocrômicas, ceratóticas, tipo eritema multiforme e outras)</w:t>
      </w:r>
      <w:r>
        <w:rPr>
          <w:rFonts w:ascii="(Usar fonte para texto asiático" w:hAnsi="(Usar fonte para texto asiático"/>
          <w:vertAlign w:val="superscript"/>
        </w:rPr>
        <w:t xml:space="preserve"> 13</w:t>
      </w:r>
      <w:r>
        <w:t>. Na DC fototóxica predomina o eritema,descamação e hipercromia, podendo haver vesículas e bolhas conforme a gravidade. Figura 18.</w:t>
      </w:r>
      <w:r w:rsidR="000768D5">
        <w:rPr>
          <w:rFonts w:ascii="Arial" w:hAnsi="Arial" w:cs="Arial"/>
          <w:noProof/>
          <w:sz w:val="28"/>
          <w:szCs w:val="28"/>
          <w:lang w:val="en-US" w:eastAsia="en-US"/>
        </w:rPr>
        <w:drawing>
          <wp:inline distT="0" distB="0" distL="0" distR="0">
            <wp:extent cx="1871345" cy="14751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1345" cy="1475105"/>
                    </a:xfrm>
                    <a:prstGeom prst="rect">
                      <a:avLst/>
                    </a:prstGeom>
                    <a:noFill/>
                  </pic:spPr>
                </pic:pic>
              </a:graphicData>
            </a:graphic>
          </wp:inline>
        </w:drawing>
      </w:r>
    </w:p>
    <w:p w:rsidR="000768D5" w:rsidRPr="003C1196" w:rsidRDefault="000768D5" w:rsidP="000768D5">
      <w:pPr>
        <w:spacing w:line="480" w:lineRule="auto"/>
        <w:ind w:firstLine="567"/>
        <w:rPr>
          <w:rFonts w:ascii="Arial" w:hAnsi="Arial" w:cs="Arial"/>
          <w:sz w:val="28"/>
          <w:szCs w:val="28"/>
        </w:rPr>
      </w:pPr>
      <w:r w:rsidRPr="003C1196">
        <w:rPr>
          <w:rFonts w:ascii="Arial" w:hAnsi="Arial" w:cs="Arial"/>
          <w:sz w:val="28"/>
          <w:szCs w:val="28"/>
        </w:rPr>
        <w:t xml:space="preserve">Figura 18. DC fototóxica por limão     </w:t>
      </w:r>
    </w:p>
    <w:p w:rsidR="000768D5" w:rsidRDefault="000768D5" w:rsidP="00A7017D">
      <w:pPr>
        <w:spacing w:line="480" w:lineRule="auto"/>
        <w:ind w:firstLine="567"/>
        <w:jc w:val="both"/>
      </w:pPr>
    </w:p>
    <w:p w:rsidR="00A7017D" w:rsidRDefault="00A7017D" w:rsidP="00A7017D">
      <w:pPr>
        <w:spacing w:line="480" w:lineRule="auto"/>
        <w:ind w:firstLine="567"/>
        <w:jc w:val="both"/>
        <w:rPr>
          <w:rFonts w:ascii="Arial" w:hAnsi="Arial" w:cs="Arial"/>
          <w:noProof/>
          <w:sz w:val="28"/>
          <w:szCs w:val="28"/>
          <w:lang w:val="en-US" w:eastAsia="en-US"/>
        </w:rPr>
      </w:pPr>
      <w:r>
        <w:t xml:space="preserve"> Na DC fotoalérgica pode haver lesões em áreas fotoexpostas por absorção do AG (DCA endógena). Figura 6.</w:t>
      </w:r>
    </w:p>
    <w:p w:rsidR="000768D5" w:rsidRDefault="000768D5" w:rsidP="00A7017D">
      <w:pPr>
        <w:spacing w:line="480" w:lineRule="auto"/>
        <w:ind w:firstLine="567"/>
        <w:jc w:val="both"/>
      </w:pPr>
      <w:r>
        <w:rPr>
          <w:rFonts w:ascii="Arial" w:hAnsi="Arial" w:cs="Arial"/>
          <w:noProof/>
          <w:sz w:val="28"/>
          <w:szCs w:val="28"/>
          <w:lang w:val="en-US" w:eastAsia="en-US"/>
        </w:rPr>
        <w:drawing>
          <wp:inline distT="0" distB="0" distL="0" distR="0">
            <wp:extent cx="1536065" cy="221297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212975"/>
                    </a:xfrm>
                    <a:prstGeom prst="rect">
                      <a:avLst/>
                    </a:prstGeom>
                    <a:noFill/>
                  </pic:spPr>
                </pic:pic>
              </a:graphicData>
            </a:graphic>
          </wp:inline>
        </w:drawing>
      </w:r>
      <w:r>
        <w:rPr>
          <w:rFonts w:ascii="Arial" w:hAnsi="Arial" w:cs="Arial"/>
          <w:noProof/>
          <w:sz w:val="28"/>
          <w:szCs w:val="28"/>
          <w:lang w:val="en-US" w:eastAsia="en-US"/>
        </w:rPr>
        <w:drawing>
          <wp:inline distT="0" distB="0" distL="0" distR="0">
            <wp:extent cx="1475105" cy="18046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804670"/>
                    </a:xfrm>
                    <a:prstGeom prst="rect">
                      <a:avLst/>
                    </a:prstGeom>
                    <a:noFill/>
                  </pic:spPr>
                </pic:pic>
              </a:graphicData>
            </a:graphic>
          </wp:inline>
        </w:drawing>
      </w:r>
    </w:p>
    <w:p w:rsidR="000768D5" w:rsidRPr="003C1196" w:rsidRDefault="000768D5" w:rsidP="000768D5">
      <w:pPr>
        <w:rPr>
          <w:rFonts w:ascii="Arial" w:hAnsi="Arial" w:cs="Arial"/>
          <w:sz w:val="28"/>
          <w:szCs w:val="28"/>
        </w:rPr>
      </w:pPr>
      <w:r w:rsidRPr="000D5C44">
        <w:rPr>
          <w:rFonts w:ascii="Arial" w:hAnsi="Arial" w:cs="Arial"/>
          <w:sz w:val="28"/>
          <w:szCs w:val="28"/>
        </w:rPr>
        <w:t>Figura 6.</w:t>
      </w:r>
      <w:r w:rsidRPr="003C1196">
        <w:rPr>
          <w:rFonts w:ascii="Arial" w:hAnsi="Arial" w:cs="Arial"/>
          <w:sz w:val="28"/>
          <w:szCs w:val="28"/>
        </w:rPr>
        <w:t xml:space="preserve"> DC fotoalérgica com absorção cutânea de pó de sulfa na úlcera de pernacom lesões em áreas expostas   (DC endógena)</w:t>
      </w:r>
    </w:p>
    <w:p w:rsidR="000768D5" w:rsidRDefault="000768D5" w:rsidP="00A7017D">
      <w:pPr>
        <w:spacing w:line="480" w:lineRule="auto"/>
        <w:ind w:firstLine="567"/>
        <w:jc w:val="both"/>
      </w:pPr>
    </w:p>
    <w:p w:rsidR="00A7017D" w:rsidRDefault="00A7017D" w:rsidP="00DF0550">
      <w:pPr>
        <w:spacing w:line="480" w:lineRule="auto"/>
        <w:ind w:firstLine="567"/>
        <w:rPr>
          <w:rFonts w:ascii="(Usar fonte para texto asiático" w:hAnsi="(Usar fonte para texto asiático"/>
          <w:vertAlign w:val="superscript"/>
        </w:rPr>
      </w:pPr>
      <w:r>
        <w:t xml:space="preserve">Cerca de 5% dos pacientes com DCA são alérgicos a corticosteróides. Os sinais clínicos da alergia aos corticosteróides nem sempre são óbvios, pela própria ação anti-inflamatória do medicamento. Clinicamente pode ser observada uma cronificação da lesão na área tratada, ou piora do quadro com o tratamento, ou ainda umhalo inflamatório ao redor da lesão. Após administração oral de corticosteróide, pode ocorrer piora e alastramento da dermatite ou </w:t>
      </w:r>
      <w:r>
        <w:rPr>
          <w:i/>
        </w:rPr>
        <w:t xml:space="preserve">rashes </w:t>
      </w:r>
      <w:r>
        <w:t>maculopapulares (DCA sistêmica</w:t>
      </w:r>
      <w:proofErr w:type="gramStart"/>
      <w:r>
        <w:t>).</w:t>
      </w:r>
      <w:proofErr w:type="gramEnd"/>
      <w:r>
        <w:rPr>
          <w:rFonts w:ascii="(Usar fonte para texto asiático" w:hAnsi="(Usar fonte para texto asiático"/>
          <w:vertAlign w:val="superscript"/>
        </w:rPr>
        <w:t>14</w:t>
      </w:r>
    </w:p>
    <w:p w:rsidR="00A7017D" w:rsidRPr="003C69ED" w:rsidRDefault="00A7017D" w:rsidP="00DF0550">
      <w:pPr>
        <w:spacing w:line="480" w:lineRule="auto"/>
        <w:ind w:firstLine="567"/>
      </w:pPr>
      <w:r>
        <w:t>A complicação mais comum na DC é a infecção secundária.</w:t>
      </w:r>
    </w:p>
    <w:p w:rsidR="00A7017D" w:rsidRPr="00000238" w:rsidRDefault="00A7017D" w:rsidP="00DF0550">
      <w:pPr>
        <w:spacing w:line="480" w:lineRule="auto"/>
        <w:rPr>
          <w:b/>
          <w:sz w:val="32"/>
          <w:szCs w:val="32"/>
        </w:rPr>
      </w:pPr>
      <w:r w:rsidRPr="00000238">
        <w:rPr>
          <w:b/>
          <w:sz w:val="32"/>
          <w:szCs w:val="32"/>
        </w:rPr>
        <w:t>DIAGNÓSTICO</w:t>
      </w:r>
    </w:p>
    <w:p w:rsidR="00A7017D" w:rsidRDefault="00A7017D" w:rsidP="00DF0550">
      <w:pPr>
        <w:spacing w:line="480" w:lineRule="auto"/>
        <w:ind w:firstLine="567"/>
      </w:pPr>
      <w:r>
        <w:t xml:space="preserve">O diagnóstico da DC é feito principalmente pela clínica e por uma boa </w:t>
      </w:r>
      <w:proofErr w:type="gramStart"/>
      <w:r>
        <w:t>anamnese :</w:t>
      </w:r>
      <w:proofErr w:type="gramEnd"/>
      <w:r>
        <w:t>história, antecedentes pessoais e familiares de atopia, cronologia e evolução da dermatite, AG da profissão, domésticos, de uso pessoal, de hobbies e esportes  (Tabela 1).</w:t>
      </w:r>
    </w:p>
    <w:p w:rsidR="00090815" w:rsidRDefault="00090815" w:rsidP="00A7017D">
      <w:pPr>
        <w:pStyle w:val="Sangra2detindependiente"/>
        <w:spacing w:line="480" w:lineRule="auto"/>
        <w:rPr>
          <w:b/>
          <w:bCs/>
        </w:rPr>
      </w:pPr>
    </w:p>
    <w:p w:rsidR="00A7017D" w:rsidRPr="003C69ED" w:rsidRDefault="00A7017D" w:rsidP="00A7017D">
      <w:pPr>
        <w:pStyle w:val="Sangra2detindependiente"/>
        <w:spacing w:line="480" w:lineRule="auto"/>
        <w:rPr>
          <w:b/>
          <w:bCs/>
        </w:rPr>
      </w:pPr>
      <w:r>
        <w:rPr>
          <w:b/>
          <w:bCs/>
        </w:rPr>
        <w:lastRenderedPageBreak/>
        <w:t>Tabela 1. Causas comuns de DCde diferentes áreas</w:t>
      </w:r>
    </w:p>
    <w:p w:rsidR="00A7017D" w:rsidRPr="00000238" w:rsidRDefault="00A7017D" w:rsidP="00A7017D">
      <w:pPr>
        <w:spacing w:line="480" w:lineRule="auto"/>
        <w:ind w:left="360"/>
        <w:rPr>
          <w:b/>
        </w:rPr>
      </w:pPr>
      <w:r w:rsidRPr="00000238">
        <w:rPr>
          <w:b/>
        </w:rPr>
        <w:t>ÁREA                                             CAUSA</w:t>
      </w:r>
    </w:p>
    <w:p w:rsidR="00A7017D" w:rsidRDefault="00A7017D" w:rsidP="00A7017D">
      <w:pPr>
        <w:spacing w:line="480" w:lineRule="auto"/>
        <w:ind w:left="360"/>
      </w:pPr>
      <w:proofErr w:type="gramStart"/>
      <w:r>
        <w:t>Face                                                  Cosméticos</w:t>
      </w:r>
      <w:proofErr w:type="gramEnd"/>
    </w:p>
    <w:p w:rsidR="00A7017D" w:rsidRDefault="00A7017D" w:rsidP="00A7017D">
      <w:pPr>
        <w:spacing w:line="480" w:lineRule="auto"/>
        <w:ind w:left="360"/>
      </w:pPr>
      <w:r>
        <w:t>Nariz                                                Suporte de óculos</w:t>
      </w:r>
    </w:p>
    <w:p w:rsidR="00A7017D" w:rsidRDefault="00A7017D" w:rsidP="00A7017D">
      <w:pPr>
        <w:spacing w:line="480" w:lineRule="auto"/>
        <w:ind w:left="360"/>
      </w:pPr>
      <w:r>
        <w:t>Lábios                                               Baton</w:t>
      </w:r>
    </w:p>
    <w:p w:rsidR="00A7017D" w:rsidRDefault="00A7017D" w:rsidP="00A7017D">
      <w:pPr>
        <w:spacing w:line="480" w:lineRule="auto"/>
        <w:ind w:left="360"/>
      </w:pPr>
      <w:r>
        <w:t>Pavilhão auricular                             Adornos, medicamentos</w:t>
      </w:r>
    </w:p>
    <w:p w:rsidR="00A7017D" w:rsidRDefault="00A7017D" w:rsidP="00A7017D">
      <w:pPr>
        <w:spacing w:line="480" w:lineRule="auto"/>
        <w:ind w:left="360"/>
      </w:pPr>
      <w:proofErr w:type="gramStart"/>
      <w:r>
        <w:t>Pescoço                                             Cosméticos</w:t>
      </w:r>
      <w:proofErr w:type="gramEnd"/>
      <w:r>
        <w:t>, adornos</w:t>
      </w:r>
    </w:p>
    <w:p w:rsidR="00A7017D" w:rsidRDefault="00A7017D" w:rsidP="00A7017D">
      <w:pPr>
        <w:spacing w:line="480" w:lineRule="auto"/>
        <w:ind w:left="360"/>
      </w:pPr>
      <w:r>
        <w:t>Axilas                                                Desodorantes</w:t>
      </w:r>
    </w:p>
    <w:p w:rsidR="00A7017D" w:rsidRDefault="00A7017D" w:rsidP="00A7017D">
      <w:pPr>
        <w:spacing w:line="480" w:lineRule="auto"/>
        <w:ind w:left="360"/>
      </w:pPr>
      <w:r>
        <w:t>Mamas                                               Sutiã</w:t>
      </w:r>
    </w:p>
    <w:p w:rsidR="00A7017D" w:rsidRDefault="00A7017D" w:rsidP="00A7017D">
      <w:pPr>
        <w:spacing w:line="480" w:lineRule="auto"/>
        <w:ind w:left="360"/>
      </w:pPr>
      <w:proofErr w:type="gramStart"/>
      <w:r>
        <w:t>Cintura                                              Elásticos</w:t>
      </w:r>
      <w:proofErr w:type="gramEnd"/>
      <w:r>
        <w:t>, metais</w:t>
      </w:r>
    </w:p>
    <w:p w:rsidR="00A7017D" w:rsidRDefault="00A7017D" w:rsidP="00A7017D">
      <w:pPr>
        <w:spacing w:line="480" w:lineRule="auto"/>
        <w:ind w:left="360"/>
      </w:pPr>
      <w:r>
        <w:t>Punhos                                              Adornos</w:t>
      </w:r>
    </w:p>
    <w:p w:rsidR="00A7017D" w:rsidRDefault="00A7017D" w:rsidP="00A7017D">
      <w:pPr>
        <w:pStyle w:val="Sangra3detindependiente"/>
        <w:spacing w:line="480" w:lineRule="auto"/>
      </w:pPr>
      <w:r>
        <w:t>Mãos                                                 Luvas, materiais de uso doméstico</w:t>
      </w:r>
    </w:p>
    <w:p w:rsidR="00A7017D" w:rsidRDefault="00A7017D" w:rsidP="00A7017D">
      <w:pPr>
        <w:spacing w:line="480" w:lineRule="auto"/>
        <w:ind w:left="360"/>
      </w:pPr>
      <w:r>
        <w:t>Pernas                                               Plantas, depiladores</w:t>
      </w:r>
    </w:p>
    <w:p w:rsidR="00A7017D" w:rsidRDefault="00B65EE1" w:rsidP="00A7017D">
      <w:pPr>
        <w:spacing w:line="480" w:lineRule="auto"/>
        <w:ind w:left="360"/>
      </w:pPr>
      <w:r>
        <w:t xml:space="preserve"> </w:t>
      </w:r>
      <w:r w:rsidR="00A7017D">
        <w:t>Pés                                                    Calçados, medicamentos</w:t>
      </w:r>
    </w:p>
    <w:p w:rsidR="00A7017D" w:rsidRDefault="00A7017D" w:rsidP="00A7017D">
      <w:pPr>
        <w:spacing w:line="480" w:lineRule="auto"/>
        <w:ind w:firstLine="567"/>
        <w:jc w:val="both"/>
      </w:pPr>
    </w:p>
    <w:p w:rsidR="00A7017D" w:rsidRDefault="00A7017D" w:rsidP="00DF0550">
      <w:pPr>
        <w:spacing w:line="480" w:lineRule="auto"/>
        <w:rPr>
          <w:sz w:val="28"/>
          <w:szCs w:val="28"/>
        </w:rPr>
      </w:pPr>
      <w:r w:rsidRPr="003C69ED">
        <w:rPr>
          <w:b/>
          <w:sz w:val="28"/>
          <w:szCs w:val="28"/>
        </w:rPr>
        <w:t>EXAME ANATOMOPATOLÓGICO</w:t>
      </w:r>
    </w:p>
    <w:p w:rsidR="00A7017D" w:rsidRDefault="00A7017D" w:rsidP="00DF0550">
      <w:pPr>
        <w:spacing w:line="480" w:lineRule="auto"/>
        <w:ind w:firstLine="567"/>
        <w:rPr>
          <w:rFonts w:ascii="(Usar fonte para texto asiático" w:hAnsi="(Usar fonte para texto asiático"/>
          <w:vertAlign w:val="superscript"/>
        </w:rPr>
      </w:pPr>
      <w:r>
        <w:t xml:space="preserve"> É útil no diagnóstico diferencial com outras dermatoses</w:t>
      </w:r>
      <w:proofErr w:type="gramStart"/>
      <w:r>
        <w:t xml:space="preserve"> mas</w:t>
      </w:r>
      <w:proofErr w:type="gramEnd"/>
      <w:r>
        <w:t xml:space="preserve">  não diferencia a  DCI da DCA. Manifesta-se como quadro eczematoso. Nos quadros agudos observamos na epiderme espongiose, vesiculação, bolhas e exocitose e na derme infiltrado inflamatório linfohistiocitário, vasodilatação eedema. Nas formas subgudas observa-se também áreas de paraqueratose e acantose. Nos eczemas crônicos encontra-sehiperqueratose, paraqueratose focal, acantose, discreta espongiose, exocitose e infiltrado inflamatório linfohistiocitário  na derme.</w:t>
      </w:r>
      <w:r>
        <w:rPr>
          <w:rFonts w:ascii="(Usar fonte para texto asiático" w:hAnsi="(Usar fonte para texto asiático"/>
          <w:vertAlign w:val="superscript"/>
        </w:rPr>
        <w:t>15</w:t>
      </w:r>
    </w:p>
    <w:p w:rsidR="00A7017D" w:rsidRDefault="00A7017D" w:rsidP="00DF0550">
      <w:pPr>
        <w:spacing w:line="480" w:lineRule="auto"/>
      </w:pPr>
    </w:p>
    <w:p w:rsidR="00A7017D" w:rsidRDefault="00A7017D" w:rsidP="00DF0550">
      <w:pPr>
        <w:spacing w:line="480" w:lineRule="auto"/>
      </w:pPr>
    </w:p>
    <w:p w:rsidR="00A7017D" w:rsidRDefault="00A7017D" w:rsidP="00A7017D">
      <w:pPr>
        <w:spacing w:line="480" w:lineRule="auto"/>
        <w:jc w:val="both"/>
      </w:pPr>
    </w:p>
    <w:p w:rsidR="00A7017D" w:rsidRPr="003C69ED" w:rsidRDefault="00A7017D" w:rsidP="00DF0550">
      <w:pPr>
        <w:pStyle w:val="Textoindependiente"/>
        <w:spacing w:line="480" w:lineRule="auto"/>
        <w:rPr>
          <w:b/>
          <w:sz w:val="28"/>
          <w:szCs w:val="28"/>
        </w:rPr>
      </w:pPr>
      <w:r w:rsidRPr="003C69ED">
        <w:rPr>
          <w:b/>
          <w:sz w:val="28"/>
          <w:szCs w:val="28"/>
        </w:rPr>
        <w:t>TESTES ALÉRGICOS</w:t>
      </w:r>
    </w:p>
    <w:p w:rsidR="00A7017D" w:rsidRDefault="00A7017D" w:rsidP="00DF0550">
      <w:pPr>
        <w:pStyle w:val="Textoindependiente"/>
        <w:numPr>
          <w:ilvl w:val="0"/>
          <w:numId w:val="10"/>
        </w:numPr>
        <w:spacing w:line="480" w:lineRule="auto"/>
        <w:ind w:left="851" w:hanging="284"/>
        <w:rPr>
          <w:sz w:val="24"/>
        </w:rPr>
      </w:pPr>
      <w:r>
        <w:rPr>
          <w:sz w:val="24"/>
        </w:rPr>
        <w:t>TESTE</w:t>
      </w:r>
      <w:proofErr w:type="gramStart"/>
      <w:r w:rsidR="00B65EE1">
        <w:rPr>
          <w:sz w:val="24"/>
        </w:rPr>
        <w:t xml:space="preserve">  </w:t>
      </w:r>
      <w:proofErr w:type="gramEnd"/>
      <w:r>
        <w:rPr>
          <w:sz w:val="24"/>
        </w:rPr>
        <w:t>DE CONTATO (TC)</w:t>
      </w:r>
    </w:p>
    <w:p w:rsidR="00A7017D" w:rsidRDefault="00A7017D" w:rsidP="00DF0550">
      <w:pPr>
        <w:pStyle w:val="Textoindependiente"/>
        <w:spacing w:line="480" w:lineRule="auto"/>
        <w:ind w:firstLine="567"/>
        <w:rPr>
          <w:sz w:val="24"/>
        </w:rPr>
      </w:pPr>
      <w:r>
        <w:rPr>
          <w:sz w:val="24"/>
        </w:rPr>
        <w:t xml:space="preserve">No diagnóstico da DCA o padrão ouro é o TC, também chamado Teste Epicutâneo ou </w:t>
      </w:r>
      <w:r>
        <w:rPr>
          <w:i/>
          <w:sz w:val="24"/>
        </w:rPr>
        <w:t xml:space="preserve">Patch Test. </w:t>
      </w:r>
      <w:r>
        <w:rPr>
          <w:sz w:val="24"/>
        </w:rPr>
        <w:t xml:space="preserve">O TC tenta reproduzir um eczema em miniatura no local da aplicação do </w:t>
      </w:r>
      <w:proofErr w:type="gramStart"/>
      <w:r>
        <w:rPr>
          <w:sz w:val="24"/>
        </w:rPr>
        <w:t>AGsuspeito</w:t>
      </w:r>
      <w:proofErr w:type="gramEnd"/>
      <w:r>
        <w:rPr>
          <w:sz w:val="24"/>
        </w:rPr>
        <w:t xml:space="preserve">. É uma prova biológica ao </w:t>
      </w:r>
      <w:proofErr w:type="gramStart"/>
      <w:r>
        <w:rPr>
          <w:sz w:val="24"/>
        </w:rPr>
        <w:t>vivo.</w:t>
      </w:r>
      <w:proofErr w:type="gramEnd"/>
      <w:r>
        <w:rPr>
          <w:sz w:val="24"/>
          <w:vertAlign w:val="superscript"/>
        </w:rPr>
        <w:t xml:space="preserve">2, 16 </w:t>
      </w:r>
      <w:r w:rsidRPr="0077327C">
        <w:rPr>
          <w:sz w:val="24"/>
        </w:rPr>
        <w:t>Figuras 19 e 20.</w:t>
      </w:r>
    </w:p>
    <w:p w:rsidR="000768D5" w:rsidRDefault="000768D5" w:rsidP="000768D5">
      <w:pPr>
        <w:rPr>
          <w:rFonts w:ascii="Arial" w:hAnsi="Arial" w:cs="Arial"/>
          <w:sz w:val="28"/>
          <w:szCs w:val="28"/>
        </w:rPr>
      </w:pPr>
      <w:r>
        <w:rPr>
          <w:rFonts w:ascii="Arial" w:hAnsi="Arial" w:cs="Arial"/>
          <w:noProof/>
          <w:sz w:val="28"/>
          <w:szCs w:val="28"/>
          <w:vertAlign w:val="superscript"/>
          <w:lang w:val="en-US" w:eastAsia="en-US"/>
        </w:rPr>
        <w:drawing>
          <wp:inline distT="0" distB="0" distL="0" distR="0">
            <wp:extent cx="2030095" cy="18288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095" cy="1828800"/>
                    </a:xfrm>
                    <a:prstGeom prst="rect">
                      <a:avLst/>
                    </a:prstGeom>
                    <a:noFill/>
                  </pic:spPr>
                </pic:pic>
              </a:graphicData>
            </a:graphic>
          </wp:inline>
        </w:drawing>
      </w:r>
    </w:p>
    <w:p w:rsidR="000768D5" w:rsidRDefault="000768D5" w:rsidP="000768D5">
      <w:pPr>
        <w:rPr>
          <w:rFonts w:ascii="Arial" w:hAnsi="Arial" w:cs="Arial"/>
          <w:sz w:val="28"/>
          <w:szCs w:val="28"/>
        </w:rPr>
      </w:pPr>
      <w:r w:rsidRPr="00CC776D">
        <w:rPr>
          <w:rFonts w:ascii="Arial" w:hAnsi="Arial" w:cs="Arial"/>
          <w:sz w:val="28"/>
          <w:szCs w:val="28"/>
        </w:rPr>
        <w:t xml:space="preserve">Figura </w:t>
      </w:r>
      <w:proofErr w:type="gramStart"/>
      <w:r w:rsidRPr="00CC776D">
        <w:rPr>
          <w:rFonts w:ascii="Arial" w:hAnsi="Arial" w:cs="Arial"/>
          <w:sz w:val="28"/>
          <w:szCs w:val="28"/>
        </w:rPr>
        <w:t>19.</w:t>
      </w:r>
      <w:proofErr w:type="gramEnd"/>
      <w:r w:rsidRPr="00CC776D">
        <w:rPr>
          <w:rFonts w:ascii="Arial" w:hAnsi="Arial" w:cs="Arial"/>
          <w:sz w:val="28"/>
          <w:szCs w:val="28"/>
        </w:rPr>
        <w:t>Teste de contato positivo por Tiuram</w:t>
      </w:r>
    </w:p>
    <w:p w:rsidR="000768D5" w:rsidRDefault="000768D5" w:rsidP="000768D5">
      <w:pPr>
        <w:rPr>
          <w:rFonts w:ascii="Arial" w:hAnsi="Arial" w:cs="Arial"/>
          <w:sz w:val="28"/>
          <w:szCs w:val="28"/>
        </w:rPr>
      </w:pPr>
    </w:p>
    <w:p w:rsidR="000768D5" w:rsidRDefault="000768D5" w:rsidP="000768D5">
      <w:pPr>
        <w:rPr>
          <w:rFonts w:ascii="Arial" w:hAnsi="Arial" w:cs="Arial"/>
          <w:sz w:val="28"/>
          <w:szCs w:val="28"/>
        </w:rPr>
      </w:pPr>
      <w:r>
        <w:rPr>
          <w:rFonts w:ascii="Arial" w:hAnsi="Arial" w:cs="Arial"/>
          <w:noProof/>
          <w:sz w:val="28"/>
          <w:szCs w:val="28"/>
          <w:vertAlign w:val="superscript"/>
          <w:lang w:val="en-US" w:eastAsia="en-US"/>
        </w:rPr>
        <w:drawing>
          <wp:inline distT="0" distB="0" distL="0" distR="0">
            <wp:extent cx="1713230" cy="162750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3230" cy="1627505"/>
                    </a:xfrm>
                    <a:prstGeom prst="rect">
                      <a:avLst/>
                    </a:prstGeom>
                    <a:noFill/>
                  </pic:spPr>
                </pic:pic>
              </a:graphicData>
            </a:graphic>
          </wp:inline>
        </w:drawing>
      </w:r>
    </w:p>
    <w:p w:rsidR="000768D5" w:rsidRPr="00CC776D" w:rsidRDefault="000768D5" w:rsidP="000768D5">
      <w:pPr>
        <w:rPr>
          <w:rFonts w:ascii="Arial" w:hAnsi="Arial" w:cs="Arial"/>
          <w:sz w:val="28"/>
          <w:szCs w:val="28"/>
        </w:rPr>
      </w:pPr>
      <w:r w:rsidRPr="00CC776D">
        <w:rPr>
          <w:rFonts w:ascii="Arial" w:hAnsi="Arial" w:cs="Arial"/>
          <w:sz w:val="28"/>
          <w:szCs w:val="28"/>
        </w:rPr>
        <w:t>Figura 20. Teste de contato positivo por neomicina</w:t>
      </w:r>
    </w:p>
    <w:p w:rsidR="000768D5" w:rsidRPr="00CC776D" w:rsidRDefault="000768D5" w:rsidP="000768D5">
      <w:pPr>
        <w:rPr>
          <w:rFonts w:ascii="Arial" w:hAnsi="Arial" w:cs="Arial"/>
          <w:sz w:val="28"/>
          <w:szCs w:val="28"/>
        </w:rPr>
      </w:pPr>
    </w:p>
    <w:p w:rsidR="000768D5" w:rsidRPr="000768D5" w:rsidRDefault="000768D5" w:rsidP="000768D5">
      <w:pPr>
        <w:rPr>
          <w:rFonts w:ascii="Arial" w:hAnsi="Arial" w:cs="Arial"/>
          <w:sz w:val="28"/>
          <w:szCs w:val="28"/>
        </w:rPr>
      </w:pPr>
    </w:p>
    <w:p w:rsidR="00A7017D" w:rsidRPr="0077327C" w:rsidRDefault="00A7017D" w:rsidP="00DF0550">
      <w:pPr>
        <w:pStyle w:val="Textoindependiente"/>
        <w:spacing w:line="480" w:lineRule="auto"/>
        <w:ind w:firstLine="567"/>
        <w:rPr>
          <w:sz w:val="24"/>
          <w:vertAlign w:val="superscript"/>
        </w:rPr>
      </w:pPr>
      <w:r w:rsidRPr="0077327C">
        <w:rPr>
          <w:sz w:val="24"/>
        </w:rPr>
        <w:t>O TC está associado a uma confirmação diagnóstica mais rápida, melhora na qualidade de vida dos pacientes com quadros crônicos e recorrentes e reduz o custo da terapia em pacientes com DCA severa</w:t>
      </w:r>
      <w:r>
        <w:t>.</w:t>
      </w:r>
    </w:p>
    <w:p w:rsidR="000768D5" w:rsidRPr="005810C0" w:rsidRDefault="00A7017D" w:rsidP="00DF0550">
      <w:pPr>
        <w:spacing w:line="480" w:lineRule="auto"/>
        <w:ind w:firstLine="567"/>
        <w:rPr>
          <w:rFonts w:ascii="Arial" w:hAnsi="Arial" w:cs="Arial"/>
        </w:rPr>
      </w:pPr>
      <w:r>
        <w:t xml:space="preserve">Existem diferentes baterias de testes de contato, padronizadas por vários grupos de estudo em DC, geralmente contendo </w:t>
      </w:r>
      <w:proofErr w:type="gramStart"/>
      <w:r>
        <w:t>cerca de 25</w:t>
      </w:r>
      <w:proofErr w:type="gramEnd"/>
      <w:r>
        <w:t xml:space="preserve"> substâncias. Os alergenos são geralmente aqueles com uma prevalência de 1% de positividade nos testes realizados </w:t>
      </w:r>
      <w:r>
        <w:lastRenderedPageBreak/>
        <w:t xml:space="preserve">rotineiramente, nos pacientes com suspeita de </w:t>
      </w:r>
      <w:proofErr w:type="gramStart"/>
      <w:r>
        <w:t>DCA</w:t>
      </w:r>
      <w:r>
        <w:rPr>
          <w:rFonts w:ascii="(Usar fonte para texto asiático" w:hAnsi="(Usar fonte para texto asiático"/>
          <w:vertAlign w:val="superscript"/>
        </w:rPr>
        <w:t>17,</w:t>
      </w:r>
      <w:proofErr w:type="gramEnd"/>
      <w:r>
        <w:rPr>
          <w:rFonts w:ascii="(Usar fonte para texto asiático" w:hAnsi="(Usar fonte para texto asiático"/>
          <w:vertAlign w:val="superscript"/>
        </w:rPr>
        <w:t>18</w:t>
      </w:r>
      <w:r>
        <w:t xml:space="preserve">. Existem diferenças em relação à positividade para algumas substâncias conforme a região geográfica. No ano 2000,o Brasil padronizou uma bateria padrão ou </w:t>
      </w:r>
      <w:r w:rsidRPr="00A24E81">
        <w:rPr>
          <w:i/>
        </w:rPr>
        <w:t>standard</w:t>
      </w:r>
      <w:r>
        <w:t xml:space="preserve"> pelo Grupo Brasileiro de Estudo em Dermatite de Contato (GBEDC). Essa bateria é composta de trinta substâncias, sendo que vinte e duas são também preconizadas pelo </w:t>
      </w:r>
      <w:r>
        <w:rPr>
          <w:i/>
        </w:rPr>
        <w:t>North American Contact Dermatitis Research Group (NACDRG)</w:t>
      </w:r>
      <w:r>
        <w:t xml:space="preserve"> e oito correspondem a substâncias de uso frequente no Brasil, relacionadas principalmente a medicamentos tópicos (Tabela 2). Além das baterias padrãoexistem outras específicas para algumas profissões ou grupo de substâncias, como </w:t>
      </w:r>
      <w:proofErr w:type="gramStart"/>
      <w:r>
        <w:t>por exemplo</w:t>
      </w:r>
      <w:proofErr w:type="gramEnd"/>
      <w:r>
        <w:t xml:space="preserve"> a de cosméticos, calçados, fragrâncias,  metais.</w:t>
      </w:r>
      <w:r>
        <w:rPr>
          <w:rFonts w:ascii="(Usar fonte para texto asiático" w:hAnsi="(Usar fonte para texto asiático"/>
          <w:vertAlign w:val="superscript"/>
        </w:rPr>
        <w:t>19</w:t>
      </w:r>
      <w:r>
        <w:t xml:space="preserve"> Em 2001, o GBEDC padronizou uma bateria específica de cosméticos (Tabela 3).</w:t>
      </w:r>
    </w:p>
    <w:p w:rsidR="000768D5" w:rsidRDefault="000768D5" w:rsidP="00DF0550">
      <w:pPr>
        <w:pStyle w:val="Textoindependiente"/>
        <w:spacing w:line="480" w:lineRule="auto"/>
        <w:rPr>
          <w:b/>
          <w:bCs/>
          <w:sz w:val="24"/>
        </w:rPr>
      </w:pPr>
    </w:p>
    <w:p w:rsidR="005810C0" w:rsidRDefault="005810C0" w:rsidP="00DF0550">
      <w:pPr>
        <w:pStyle w:val="Textoindependiente"/>
        <w:spacing w:line="480" w:lineRule="auto"/>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5810C0" w:rsidRDefault="005810C0" w:rsidP="00A7017D">
      <w:pPr>
        <w:pStyle w:val="Textoindependiente"/>
        <w:spacing w:line="480" w:lineRule="auto"/>
        <w:jc w:val="both"/>
        <w:rPr>
          <w:b/>
          <w:bCs/>
          <w:sz w:val="24"/>
        </w:rPr>
      </w:pPr>
    </w:p>
    <w:p w:rsidR="00B304A5" w:rsidRDefault="00B304A5" w:rsidP="00A7017D">
      <w:pPr>
        <w:pStyle w:val="Textoindependiente"/>
        <w:spacing w:line="480" w:lineRule="auto"/>
        <w:jc w:val="both"/>
        <w:rPr>
          <w:b/>
          <w:bCs/>
          <w:sz w:val="24"/>
        </w:rPr>
      </w:pPr>
    </w:p>
    <w:p w:rsidR="00A7017D" w:rsidRPr="00723068" w:rsidRDefault="00A7017D" w:rsidP="00A7017D">
      <w:pPr>
        <w:pStyle w:val="Textoindependiente"/>
        <w:spacing w:line="480" w:lineRule="auto"/>
        <w:jc w:val="both"/>
        <w:rPr>
          <w:b/>
          <w:bCs/>
          <w:sz w:val="24"/>
        </w:rPr>
      </w:pPr>
      <w:r>
        <w:rPr>
          <w:b/>
          <w:bCs/>
          <w:sz w:val="24"/>
        </w:rPr>
        <w:lastRenderedPageBreak/>
        <w:t>Tabela 2. Bateria padrão do Grupo Brasileiro de Estudo em Dermatite de Contato (GBEDC)</w:t>
      </w:r>
    </w:p>
    <w:tbl>
      <w:tblPr>
        <w:tblW w:w="3876" w:type="pct"/>
        <w:tblLayout w:type="fixed"/>
        <w:tblCellMar>
          <w:left w:w="70" w:type="dxa"/>
          <w:right w:w="70" w:type="dxa"/>
        </w:tblCellMar>
        <w:tblLook w:val="0000" w:firstRow="0" w:lastRow="0" w:firstColumn="0" w:lastColumn="0" w:noHBand="0" w:noVBand="0"/>
      </w:tblPr>
      <w:tblGrid>
        <w:gridCol w:w="3351"/>
        <w:gridCol w:w="3350"/>
      </w:tblGrid>
      <w:tr w:rsidR="00A7017D" w:rsidRPr="005810C0" w:rsidTr="00723068">
        <w:trPr>
          <w:trHeight w:hRule="exact" w:val="360"/>
        </w:trPr>
        <w:tc>
          <w:tcPr>
            <w:tcW w:w="3351" w:type="dxa"/>
            <w:tcBorders>
              <w:top w:val="single" w:sz="12" w:space="0" w:color="auto"/>
              <w:left w:val="nil"/>
              <w:right w:val="nil"/>
            </w:tcBorders>
            <w:vAlign w:val="center"/>
          </w:tcPr>
          <w:p w:rsidR="00A7017D" w:rsidRDefault="00A7017D" w:rsidP="00D760CF">
            <w:pPr>
              <w:spacing w:line="480" w:lineRule="auto"/>
              <w:rPr>
                <w:rFonts w:ascii="Arial" w:hAnsi="Arial" w:cs="Arial"/>
                <w:b/>
                <w:bCs/>
              </w:rPr>
            </w:pPr>
            <w:r w:rsidRPr="005810C0">
              <w:rPr>
                <w:rFonts w:ascii="Arial" w:hAnsi="Arial" w:cs="Arial"/>
                <w:b/>
                <w:bCs/>
              </w:rPr>
              <w:t>Substância</w:t>
            </w:r>
          </w:p>
          <w:p w:rsidR="005810C0" w:rsidRDefault="005810C0" w:rsidP="00D760CF">
            <w:pPr>
              <w:spacing w:line="480" w:lineRule="auto"/>
              <w:rPr>
                <w:rFonts w:ascii="Arial" w:hAnsi="Arial" w:cs="Arial"/>
                <w:b/>
                <w:bCs/>
              </w:rPr>
            </w:pPr>
          </w:p>
          <w:p w:rsidR="005810C0" w:rsidRDefault="005810C0" w:rsidP="00D760CF">
            <w:pPr>
              <w:spacing w:line="480" w:lineRule="auto"/>
              <w:rPr>
                <w:rFonts w:ascii="Arial" w:hAnsi="Arial" w:cs="Arial"/>
                <w:b/>
                <w:bCs/>
              </w:rPr>
            </w:pPr>
          </w:p>
          <w:p w:rsidR="005810C0" w:rsidRDefault="005810C0" w:rsidP="00D760CF">
            <w:pPr>
              <w:spacing w:line="480" w:lineRule="auto"/>
              <w:rPr>
                <w:rFonts w:ascii="Arial" w:hAnsi="Arial" w:cs="Arial"/>
                <w:b/>
                <w:bCs/>
              </w:rPr>
            </w:pPr>
          </w:p>
          <w:p w:rsidR="005810C0" w:rsidRDefault="005810C0" w:rsidP="00D760CF">
            <w:pPr>
              <w:spacing w:line="480" w:lineRule="auto"/>
              <w:rPr>
                <w:rFonts w:ascii="Arial" w:hAnsi="Arial" w:cs="Arial"/>
                <w:b/>
                <w:bCs/>
              </w:rPr>
            </w:pPr>
          </w:p>
          <w:p w:rsidR="005810C0" w:rsidRPr="005810C0" w:rsidRDefault="005810C0" w:rsidP="00D760CF">
            <w:pPr>
              <w:spacing w:line="480" w:lineRule="auto"/>
              <w:rPr>
                <w:rFonts w:ascii="Arial" w:hAnsi="Arial" w:cs="Arial"/>
                <w:b/>
                <w:bCs/>
              </w:rPr>
            </w:pPr>
          </w:p>
        </w:tc>
        <w:tc>
          <w:tcPr>
            <w:tcW w:w="3350" w:type="dxa"/>
            <w:tcBorders>
              <w:top w:val="single" w:sz="12" w:space="0" w:color="auto"/>
              <w:left w:val="nil"/>
              <w:right w:val="nil"/>
            </w:tcBorders>
            <w:vAlign w:val="center"/>
          </w:tcPr>
          <w:p w:rsidR="00A7017D" w:rsidRDefault="00A7017D" w:rsidP="00D760CF">
            <w:pPr>
              <w:spacing w:line="480" w:lineRule="auto"/>
              <w:jc w:val="center"/>
              <w:rPr>
                <w:rFonts w:ascii="Arial" w:hAnsi="Arial" w:cs="Arial"/>
                <w:b/>
                <w:bCs/>
              </w:rPr>
            </w:pPr>
            <w:r w:rsidRPr="005810C0">
              <w:rPr>
                <w:rFonts w:ascii="Arial" w:hAnsi="Arial" w:cs="Arial"/>
                <w:b/>
                <w:bCs/>
              </w:rPr>
              <w:t>Concentração (%)</w:t>
            </w:r>
          </w:p>
          <w:p w:rsidR="005810C0" w:rsidRDefault="005810C0" w:rsidP="00D760CF">
            <w:pPr>
              <w:spacing w:line="480" w:lineRule="auto"/>
              <w:jc w:val="center"/>
              <w:rPr>
                <w:rFonts w:ascii="Arial" w:hAnsi="Arial" w:cs="Arial"/>
                <w:b/>
                <w:bCs/>
              </w:rPr>
            </w:pPr>
          </w:p>
          <w:p w:rsidR="005810C0" w:rsidRDefault="005810C0" w:rsidP="00D760CF">
            <w:pPr>
              <w:spacing w:line="480" w:lineRule="auto"/>
              <w:jc w:val="center"/>
              <w:rPr>
                <w:rFonts w:ascii="Arial" w:hAnsi="Arial" w:cs="Arial"/>
                <w:b/>
                <w:bCs/>
              </w:rPr>
            </w:pPr>
          </w:p>
          <w:p w:rsidR="005810C0" w:rsidRDefault="005810C0" w:rsidP="00D760CF">
            <w:pPr>
              <w:spacing w:line="480" w:lineRule="auto"/>
              <w:jc w:val="center"/>
              <w:rPr>
                <w:rFonts w:ascii="Arial" w:hAnsi="Arial" w:cs="Arial"/>
                <w:b/>
                <w:bCs/>
              </w:rPr>
            </w:pPr>
          </w:p>
          <w:p w:rsidR="005810C0" w:rsidRDefault="005810C0" w:rsidP="00D760CF">
            <w:pPr>
              <w:spacing w:line="480" w:lineRule="auto"/>
              <w:jc w:val="center"/>
              <w:rPr>
                <w:rFonts w:ascii="Arial" w:hAnsi="Arial" w:cs="Arial"/>
                <w:b/>
                <w:bCs/>
              </w:rPr>
            </w:pPr>
          </w:p>
          <w:p w:rsidR="005810C0" w:rsidRDefault="005810C0" w:rsidP="00D760CF">
            <w:pPr>
              <w:spacing w:line="480" w:lineRule="auto"/>
              <w:jc w:val="center"/>
              <w:rPr>
                <w:rFonts w:ascii="Arial" w:hAnsi="Arial" w:cs="Arial"/>
                <w:b/>
                <w:bCs/>
              </w:rPr>
            </w:pPr>
          </w:p>
          <w:p w:rsidR="005810C0" w:rsidRDefault="005810C0" w:rsidP="00D760CF">
            <w:pPr>
              <w:spacing w:line="480" w:lineRule="auto"/>
              <w:jc w:val="center"/>
              <w:rPr>
                <w:rFonts w:ascii="Arial" w:hAnsi="Arial" w:cs="Arial"/>
                <w:b/>
                <w:bCs/>
              </w:rPr>
            </w:pPr>
          </w:p>
          <w:p w:rsidR="005810C0" w:rsidRPr="005810C0" w:rsidRDefault="005810C0" w:rsidP="00D760CF">
            <w:pPr>
              <w:spacing w:line="480" w:lineRule="auto"/>
              <w:jc w:val="center"/>
              <w:rPr>
                <w:rFonts w:ascii="Arial" w:hAnsi="Arial" w:cs="Arial"/>
                <w:b/>
                <w:bCs/>
              </w:rPr>
            </w:pPr>
          </w:p>
        </w:tc>
      </w:tr>
      <w:tr w:rsidR="00A7017D" w:rsidRPr="005810C0" w:rsidTr="00723068">
        <w:trPr>
          <w:trHeight w:hRule="exact" w:val="360"/>
        </w:trPr>
        <w:tc>
          <w:tcPr>
            <w:tcW w:w="3351" w:type="dxa"/>
            <w:tcBorders>
              <w:left w:val="nil"/>
              <w:bottom w:val="nil"/>
              <w:right w:val="nil"/>
            </w:tcBorders>
            <w:vAlign w:val="center"/>
          </w:tcPr>
          <w:p w:rsidR="00A7017D" w:rsidRPr="005810C0" w:rsidRDefault="00A7017D" w:rsidP="00F30763">
            <w:pPr>
              <w:spacing w:line="480" w:lineRule="auto"/>
              <w:ind w:right="-528"/>
              <w:rPr>
                <w:rFonts w:ascii="Arial" w:hAnsi="Arial" w:cs="Arial"/>
              </w:rPr>
            </w:pPr>
            <w:r w:rsidRPr="005810C0">
              <w:rPr>
                <w:rFonts w:ascii="Arial" w:hAnsi="Arial" w:cs="Arial"/>
              </w:rPr>
              <w:t xml:space="preserve">  1- Antraquinona</w:t>
            </w:r>
          </w:p>
        </w:tc>
        <w:tc>
          <w:tcPr>
            <w:tcW w:w="3350" w:type="dxa"/>
            <w:tcBorders>
              <w:left w:val="nil"/>
              <w:bottom w:val="nil"/>
              <w:right w:val="nil"/>
            </w:tcBorders>
            <w:vAlign w:val="center"/>
          </w:tcPr>
          <w:p w:rsidR="00A7017D" w:rsidRDefault="00A7017D" w:rsidP="00D760CF">
            <w:pPr>
              <w:spacing w:line="480" w:lineRule="auto"/>
              <w:jc w:val="center"/>
              <w:rPr>
                <w:rFonts w:ascii="Arial" w:hAnsi="Arial" w:cs="Arial"/>
              </w:rPr>
            </w:pPr>
            <w:proofErr w:type="gramStart"/>
            <w:r w:rsidRPr="005810C0">
              <w:rPr>
                <w:rFonts w:ascii="Arial" w:hAnsi="Arial" w:cs="Arial"/>
              </w:rPr>
              <w:t>2</w:t>
            </w:r>
            <w:proofErr w:type="gramEnd"/>
          </w:p>
          <w:p w:rsidR="005810C0" w:rsidRDefault="005810C0" w:rsidP="00D760CF">
            <w:pPr>
              <w:spacing w:line="480" w:lineRule="auto"/>
              <w:jc w:val="center"/>
              <w:rPr>
                <w:rFonts w:ascii="Arial" w:hAnsi="Arial" w:cs="Arial"/>
              </w:rPr>
            </w:pPr>
          </w:p>
          <w:p w:rsidR="005810C0" w:rsidRDefault="005810C0" w:rsidP="00D760CF">
            <w:pPr>
              <w:spacing w:line="480" w:lineRule="auto"/>
              <w:jc w:val="center"/>
              <w:rPr>
                <w:rFonts w:ascii="Arial" w:hAnsi="Arial" w:cs="Arial"/>
              </w:rPr>
            </w:pPr>
          </w:p>
          <w:p w:rsidR="005810C0" w:rsidRPr="005810C0" w:rsidRDefault="005810C0" w:rsidP="00D760CF">
            <w:pPr>
              <w:spacing w:line="480" w:lineRule="auto"/>
              <w:jc w:val="center"/>
              <w:rPr>
                <w:rFonts w:ascii="Arial" w:hAnsi="Arial" w:cs="Arial"/>
              </w:rPr>
            </w:pP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5810C0" w:rsidP="00D760CF">
            <w:pPr>
              <w:spacing w:line="480" w:lineRule="auto"/>
              <w:rPr>
                <w:rFonts w:ascii="Arial" w:hAnsi="Arial" w:cs="Arial"/>
              </w:rPr>
            </w:pPr>
            <w:r w:rsidRPr="005810C0">
              <w:rPr>
                <w:rFonts w:ascii="Arial" w:hAnsi="Arial" w:cs="Arial"/>
              </w:rPr>
              <w:t xml:space="preserve">  </w:t>
            </w:r>
            <w:proofErr w:type="gramStart"/>
            <w:r w:rsidR="00A7017D" w:rsidRPr="005810C0">
              <w:rPr>
                <w:rFonts w:ascii="Arial" w:hAnsi="Arial" w:cs="Arial"/>
              </w:rPr>
              <w:t>2- Bálsamo</w:t>
            </w:r>
            <w:proofErr w:type="gramEnd"/>
            <w:r w:rsidR="00A7017D" w:rsidRPr="005810C0">
              <w:rPr>
                <w:rFonts w:ascii="Arial" w:hAnsi="Arial" w:cs="Arial"/>
              </w:rPr>
              <w:t xml:space="preserve"> do Peru</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25</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5810C0" w:rsidP="00D760CF">
            <w:pPr>
              <w:spacing w:line="480" w:lineRule="auto"/>
              <w:rPr>
                <w:rFonts w:ascii="Arial" w:hAnsi="Arial" w:cs="Arial"/>
              </w:rPr>
            </w:pPr>
            <w:r w:rsidRPr="005810C0">
              <w:rPr>
                <w:rFonts w:ascii="Arial" w:hAnsi="Arial" w:cs="Arial"/>
              </w:rPr>
              <w:t xml:space="preserve">  </w:t>
            </w:r>
            <w:proofErr w:type="gramStart"/>
            <w:r w:rsidR="00A7017D" w:rsidRPr="005810C0">
              <w:rPr>
                <w:rFonts w:ascii="Arial" w:hAnsi="Arial" w:cs="Arial"/>
              </w:rPr>
              <w:t>3</w:t>
            </w:r>
            <w:proofErr w:type="gramEnd"/>
            <w:r w:rsidR="00A7017D" w:rsidRPr="005810C0">
              <w:rPr>
                <w:rFonts w:ascii="Arial" w:hAnsi="Arial" w:cs="Arial"/>
              </w:rPr>
              <w:t>- PPD-</w:t>
            </w:r>
            <w:r w:rsidR="00A7017D" w:rsidRPr="005810C0">
              <w:rPr>
                <w:rFonts w:ascii="Arial" w:hAnsi="Arial" w:cs="Arial"/>
                <w:i/>
                <w:iCs/>
              </w:rPr>
              <w:t xml:space="preserve"> mix</w:t>
            </w:r>
            <w:r w:rsidR="00A7017D" w:rsidRPr="005810C0">
              <w:rPr>
                <w:rFonts w:ascii="Arial" w:hAnsi="Arial" w:cs="Arial"/>
              </w:rPr>
              <w:t xml:space="preserve"> (a)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0,4</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5810C0" w:rsidP="00D760CF">
            <w:pPr>
              <w:spacing w:line="480" w:lineRule="auto"/>
              <w:rPr>
                <w:rFonts w:ascii="Arial" w:hAnsi="Arial" w:cs="Arial"/>
              </w:rPr>
            </w:pPr>
            <w:r w:rsidRPr="005810C0">
              <w:rPr>
                <w:rFonts w:ascii="Arial" w:hAnsi="Arial" w:cs="Arial"/>
              </w:rPr>
              <w:t xml:space="preserve">  </w:t>
            </w:r>
            <w:r w:rsidR="00A7017D" w:rsidRPr="005810C0">
              <w:rPr>
                <w:rFonts w:ascii="Arial" w:hAnsi="Arial" w:cs="Arial"/>
              </w:rPr>
              <w:t>4- Hidroquinona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 xml:space="preserve">  5- Bicromato de potássio</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0,5</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 xml:space="preserve">  6- Propilenoglicol</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10</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 xml:space="preserve">  7- Butilfenol para terciário</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lang w:val="es-ES_tradnl"/>
              </w:rPr>
            </w:pPr>
            <w:r w:rsidRPr="005810C0">
              <w:rPr>
                <w:rFonts w:ascii="Arial" w:hAnsi="Arial" w:cs="Arial"/>
                <w:lang w:val="es-ES_tradnl"/>
              </w:rPr>
              <w:t>1</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lang w:val="es-ES_tradnl"/>
              </w:rPr>
            </w:pPr>
            <w:r w:rsidRPr="005810C0">
              <w:rPr>
                <w:rFonts w:ascii="Arial" w:hAnsi="Arial" w:cs="Arial"/>
                <w:lang w:val="es-ES_tradnl"/>
              </w:rPr>
              <w:t xml:space="preserve">  8- Neomicina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lang w:val="es-ES_tradnl"/>
              </w:rPr>
            </w:pPr>
            <w:r w:rsidRPr="005810C0">
              <w:rPr>
                <w:rFonts w:ascii="Arial" w:hAnsi="Arial" w:cs="Arial"/>
                <w:lang w:val="es-ES_tradnl"/>
              </w:rPr>
              <w:t>20</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lang w:val="es-ES_tradnl"/>
              </w:rPr>
            </w:pPr>
            <w:r w:rsidRPr="005810C0">
              <w:rPr>
                <w:rFonts w:ascii="Arial" w:hAnsi="Arial" w:cs="Arial"/>
                <w:lang w:val="es-ES_tradnl"/>
              </w:rPr>
              <w:t xml:space="preserve">  9- Irgasan</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lang w:val="es-ES_tradnl"/>
              </w:rPr>
            </w:pPr>
            <w:r w:rsidRPr="005810C0">
              <w:rPr>
                <w:rFonts w:ascii="Arial" w:hAnsi="Arial" w:cs="Arial"/>
                <w:lang w:val="es-ES_tradnl"/>
              </w:rPr>
              <w:t>1</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lang w:val="es-ES_tradnl"/>
              </w:rPr>
            </w:pPr>
            <w:r w:rsidRPr="005810C0">
              <w:rPr>
                <w:rFonts w:ascii="Arial" w:hAnsi="Arial" w:cs="Arial"/>
                <w:lang w:val="es-ES_tradnl"/>
              </w:rPr>
              <w:t>10- Kathon CG</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0,5</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proofErr w:type="gramStart"/>
            <w:r w:rsidRPr="005810C0">
              <w:rPr>
                <w:rFonts w:ascii="Arial" w:hAnsi="Arial" w:cs="Arial"/>
              </w:rPr>
              <w:t>11- Cloreto</w:t>
            </w:r>
            <w:proofErr w:type="gramEnd"/>
            <w:r w:rsidRPr="005810C0">
              <w:rPr>
                <w:rFonts w:ascii="Arial" w:hAnsi="Arial" w:cs="Arial"/>
              </w:rPr>
              <w:t xml:space="preserve"> de cobalto</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12- Lanolina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30</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13- Tiuram-</w:t>
            </w:r>
            <w:r w:rsidRPr="005810C0">
              <w:rPr>
                <w:rFonts w:ascii="Arial" w:hAnsi="Arial" w:cs="Arial"/>
                <w:i/>
                <w:iCs/>
              </w:rPr>
              <w:t xml:space="preserve"> mix</w:t>
            </w:r>
            <w:r w:rsidRPr="005810C0">
              <w:rPr>
                <w:rFonts w:ascii="Arial" w:hAnsi="Arial" w:cs="Arial"/>
              </w:rPr>
              <w:t xml:space="preserve"> (b)</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14- Etilenodiamina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15- Perfume-</w:t>
            </w:r>
            <w:r w:rsidRPr="005810C0">
              <w:rPr>
                <w:rFonts w:ascii="Arial" w:hAnsi="Arial" w:cs="Arial"/>
                <w:i/>
                <w:iCs/>
              </w:rPr>
              <w:t>mix</w:t>
            </w:r>
            <w:r w:rsidRPr="005810C0">
              <w:rPr>
                <w:rFonts w:ascii="Arial" w:hAnsi="Arial" w:cs="Arial"/>
              </w:rPr>
              <w:t>(c)</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7</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16- Mercapto-</w:t>
            </w:r>
            <w:r w:rsidRPr="005810C0">
              <w:rPr>
                <w:rFonts w:ascii="Arial" w:hAnsi="Arial" w:cs="Arial"/>
                <w:i/>
                <w:iCs/>
              </w:rPr>
              <w:t>mix</w:t>
            </w:r>
            <w:r w:rsidRPr="005810C0">
              <w:rPr>
                <w:rFonts w:ascii="Arial" w:hAnsi="Arial" w:cs="Arial"/>
              </w:rPr>
              <w:t>(d)</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2</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17- Benzocaína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5</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18- Quaternium 15</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19- Quinolina-</w:t>
            </w:r>
            <w:r w:rsidRPr="005810C0">
              <w:rPr>
                <w:rFonts w:ascii="Arial" w:hAnsi="Arial" w:cs="Arial"/>
                <w:i/>
                <w:iCs/>
              </w:rPr>
              <w:t xml:space="preserve"> mix</w:t>
            </w:r>
            <w:r w:rsidRPr="005810C0">
              <w:rPr>
                <w:rFonts w:ascii="Arial" w:hAnsi="Arial" w:cs="Arial"/>
              </w:rPr>
              <w:t xml:space="preserve"> (e)</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6</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20- Nitrofurazona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21- Parabeno-</w:t>
            </w:r>
            <w:r w:rsidRPr="005810C0">
              <w:rPr>
                <w:rFonts w:ascii="Arial" w:hAnsi="Arial" w:cs="Arial"/>
                <w:i/>
                <w:iCs/>
              </w:rPr>
              <w:t xml:space="preserve">mix </w:t>
            </w:r>
            <w:r w:rsidRPr="005810C0">
              <w:rPr>
                <w:rFonts w:ascii="Arial" w:hAnsi="Arial" w:cs="Arial"/>
              </w:rPr>
              <w:t>(f)</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15</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22- Resina-epóxi</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23- Timerosol</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0,1</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24- Terebintina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10</w:t>
            </w:r>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25- Carba-</w:t>
            </w:r>
            <w:r w:rsidRPr="005810C0">
              <w:rPr>
                <w:rFonts w:ascii="Arial" w:hAnsi="Arial" w:cs="Arial"/>
                <w:i/>
                <w:iCs/>
              </w:rPr>
              <w:t xml:space="preserve">mix </w:t>
            </w:r>
            <w:r w:rsidRPr="005810C0">
              <w:rPr>
                <w:rFonts w:ascii="Arial" w:hAnsi="Arial" w:cs="Arial"/>
              </w:rPr>
              <w:t>(g)</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3</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26- Prometazina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proofErr w:type="gramStart"/>
            <w:r w:rsidRPr="005810C0">
              <w:rPr>
                <w:rFonts w:ascii="Arial" w:hAnsi="Arial" w:cs="Arial"/>
              </w:rPr>
              <w:t>27- Sulfato</w:t>
            </w:r>
            <w:proofErr w:type="gramEnd"/>
            <w:r w:rsidRPr="005810C0">
              <w:rPr>
                <w:rFonts w:ascii="Arial" w:hAnsi="Arial" w:cs="Arial"/>
              </w:rPr>
              <w:t xml:space="preserve"> de níquel</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5</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28- Colofônia</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r w:rsidRPr="005810C0">
              <w:rPr>
                <w:rFonts w:ascii="Arial" w:hAnsi="Arial" w:cs="Arial"/>
              </w:rPr>
              <w:t>20</w:t>
            </w:r>
          </w:p>
        </w:tc>
      </w:tr>
      <w:tr w:rsidR="00A7017D" w:rsidRPr="005810C0" w:rsidTr="00723068">
        <w:trPr>
          <w:trHeight w:hRule="exact" w:val="360"/>
        </w:trPr>
        <w:tc>
          <w:tcPr>
            <w:tcW w:w="3351" w:type="dxa"/>
            <w:tcBorders>
              <w:top w:val="nil"/>
              <w:left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29- Parafenilenodiamina</w:t>
            </w:r>
          </w:p>
        </w:tc>
        <w:tc>
          <w:tcPr>
            <w:tcW w:w="3350" w:type="dxa"/>
            <w:tcBorders>
              <w:top w:val="nil"/>
              <w:left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nil"/>
              <w:right w:val="nil"/>
            </w:tcBorders>
            <w:vAlign w:val="center"/>
          </w:tcPr>
          <w:p w:rsidR="00A7017D" w:rsidRPr="005810C0" w:rsidRDefault="00A7017D" w:rsidP="00D760CF">
            <w:pPr>
              <w:spacing w:line="480" w:lineRule="auto"/>
              <w:rPr>
                <w:rFonts w:ascii="Arial" w:hAnsi="Arial" w:cs="Arial"/>
              </w:rPr>
            </w:pPr>
            <w:r w:rsidRPr="005810C0">
              <w:rPr>
                <w:rFonts w:ascii="Arial" w:hAnsi="Arial" w:cs="Arial"/>
              </w:rPr>
              <w:t>30- Formaldeído *</w:t>
            </w:r>
          </w:p>
        </w:tc>
        <w:tc>
          <w:tcPr>
            <w:tcW w:w="3350" w:type="dxa"/>
            <w:tcBorders>
              <w:top w:val="nil"/>
              <w:left w:val="nil"/>
              <w:bottom w:val="nil"/>
              <w:right w:val="nil"/>
            </w:tcBorders>
            <w:vAlign w:val="center"/>
          </w:tcPr>
          <w:p w:rsidR="00A7017D" w:rsidRPr="005810C0" w:rsidRDefault="00A7017D" w:rsidP="00D760CF">
            <w:pPr>
              <w:spacing w:line="480" w:lineRule="auto"/>
              <w:jc w:val="center"/>
              <w:rPr>
                <w:rFonts w:ascii="Arial" w:hAnsi="Arial" w:cs="Arial"/>
              </w:rPr>
            </w:pPr>
            <w:proofErr w:type="gramStart"/>
            <w:r w:rsidRPr="005810C0">
              <w:rPr>
                <w:rFonts w:ascii="Arial" w:hAnsi="Arial" w:cs="Arial"/>
              </w:rPr>
              <w:t>1</w:t>
            </w:r>
            <w:proofErr w:type="gramEnd"/>
          </w:p>
        </w:tc>
      </w:tr>
      <w:tr w:rsidR="00A7017D" w:rsidRPr="005810C0" w:rsidTr="00723068">
        <w:trPr>
          <w:trHeight w:hRule="exact" w:val="360"/>
        </w:trPr>
        <w:tc>
          <w:tcPr>
            <w:tcW w:w="3351" w:type="dxa"/>
            <w:tcBorders>
              <w:top w:val="nil"/>
              <w:left w:val="nil"/>
              <w:bottom w:val="single" w:sz="12" w:space="0" w:color="auto"/>
              <w:right w:val="nil"/>
            </w:tcBorders>
            <w:vAlign w:val="center"/>
          </w:tcPr>
          <w:p w:rsidR="00A7017D" w:rsidRPr="005810C0" w:rsidRDefault="00A7017D" w:rsidP="00D760CF">
            <w:pPr>
              <w:spacing w:line="480" w:lineRule="auto"/>
              <w:rPr>
                <w:rFonts w:ascii="Arial" w:hAnsi="Arial" w:cs="Arial"/>
              </w:rPr>
            </w:pPr>
          </w:p>
        </w:tc>
        <w:tc>
          <w:tcPr>
            <w:tcW w:w="3350" w:type="dxa"/>
            <w:tcBorders>
              <w:top w:val="nil"/>
              <w:left w:val="nil"/>
              <w:bottom w:val="single" w:sz="12" w:space="0" w:color="auto"/>
              <w:right w:val="nil"/>
            </w:tcBorders>
            <w:vAlign w:val="center"/>
          </w:tcPr>
          <w:p w:rsidR="00A7017D" w:rsidRPr="005810C0" w:rsidRDefault="00A7017D" w:rsidP="00D760CF">
            <w:pPr>
              <w:spacing w:line="480" w:lineRule="auto"/>
              <w:jc w:val="center"/>
              <w:rPr>
                <w:rFonts w:ascii="Arial" w:hAnsi="Arial" w:cs="Arial"/>
              </w:rPr>
            </w:pPr>
          </w:p>
        </w:tc>
      </w:tr>
    </w:tbl>
    <w:p w:rsidR="00A7017D" w:rsidRPr="005810C0" w:rsidRDefault="00A7017D" w:rsidP="00A7017D">
      <w:pPr>
        <w:pStyle w:val="Textoindependiente2"/>
        <w:ind w:left="360"/>
        <w:jc w:val="both"/>
        <w:rPr>
          <w:rFonts w:ascii="Arial" w:hAnsi="Arial" w:cs="Arial"/>
        </w:rPr>
      </w:pPr>
      <w:r w:rsidRPr="005810C0">
        <w:rPr>
          <w:rFonts w:ascii="Arial" w:hAnsi="Arial" w:cs="Arial"/>
        </w:rPr>
        <w:t>Fonte: Manual de Instrução Patchkit Standard</w:t>
      </w:r>
      <w:r w:rsidRPr="005810C0">
        <w:rPr>
          <w:rFonts w:ascii="Arial" w:hAnsi="Arial" w:cs="Arial"/>
        </w:rPr>
        <w:sym w:font="Symbol" w:char="F0D2"/>
      </w:r>
    </w:p>
    <w:p w:rsidR="00A7017D" w:rsidRPr="00FD3A5B" w:rsidRDefault="00A7017D" w:rsidP="00A7017D">
      <w:pPr>
        <w:pStyle w:val="Textoindependiente2"/>
        <w:ind w:left="360"/>
        <w:jc w:val="both"/>
        <w:rPr>
          <w:rFonts w:ascii="Arial" w:hAnsi="Arial" w:cs="Arial"/>
          <w:sz w:val="20"/>
          <w:szCs w:val="20"/>
        </w:rPr>
      </w:pPr>
      <w:r>
        <w:t>*Diluído em água. As outras substâncias são diluídas em vaselina</w:t>
      </w:r>
    </w:p>
    <w:p w:rsidR="00A7017D" w:rsidRDefault="00A7017D" w:rsidP="00DF0550">
      <w:pPr>
        <w:pStyle w:val="Textoindependiente2"/>
        <w:ind w:firstLine="567"/>
        <w:rPr>
          <w:u w:val="single"/>
        </w:rPr>
      </w:pPr>
      <w:r>
        <w:rPr>
          <w:u w:val="single"/>
        </w:rPr>
        <w:lastRenderedPageBreak/>
        <w:t>Composição dos</w:t>
      </w:r>
      <w:r w:rsidRPr="006D7D49">
        <w:rPr>
          <w:i/>
          <w:u w:val="single"/>
        </w:rPr>
        <w:t>mix</w:t>
      </w:r>
      <w:r>
        <w:rPr>
          <w:u w:val="single"/>
        </w:rPr>
        <w:t>:</w:t>
      </w:r>
    </w:p>
    <w:p w:rsidR="00A7017D" w:rsidRDefault="00A7017D" w:rsidP="00DF0550">
      <w:pPr>
        <w:pStyle w:val="Textoindependiente2"/>
        <w:numPr>
          <w:ilvl w:val="0"/>
          <w:numId w:val="8"/>
        </w:numPr>
        <w:tabs>
          <w:tab w:val="clear" w:pos="720"/>
          <w:tab w:val="num" w:pos="0"/>
        </w:tabs>
        <w:spacing w:after="0"/>
        <w:ind w:left="0" w:firstLine="360"/>
      </w:pPr>
      <w:r>
        <w:t>Difenilguanidina 1%, Dimetilcarbamato de Zinco 1%, Dietilcarbamato de zinco 1%; (b) N-Ciclohexil 2-benzotiazolsulfenamida 0,5%, Morfolinilmercaptobenzotiazol 0,5%, Dibenzotiazol-dissulfito 0,5%, Mercaptobenzotiazol 0,5%; (c) Butil 3%, Etil 3%, Propil 3%, Benzil 3%, Metil 3% Parabenos; (d) Eugenol 1%, Isoeugenol 1%, Geraniol 1%, Aldeído cinâmico1%, Álcool cinâmico 1%, Aldeído alfa amilcinâmico 1%, Oak moss absoluto 1%, Hidroxicitronelal 1%; (e) N-Isopropil-N-</w:t>
      </w:r>
      <w:proofErr w:type="spellStart"/>
      <w:r>
        <w:t>fenil</w:t>
      </w:r>
      <w:proofErr w:type="spellEnd"/>
      <w:r>
        <w:t>-parafenilenodiamina 0,2%, N-difenil-parafenilenodiamina 0,2%; (f) Clioquinol 3%, Clorquinaldol 3%; (g) Tetrametiltiuran monossulfeto 0,5%, Tetrametiltiuran dissulfeto 0,5%.</w:t>
      </w:r>
    </w:p>
    <w:p w:rsidR="00A7017D" w:rsidRDefault="00A7017D" w:rsidP="00DF0550">
      <w:pPr>
        <w:spacing w:line="480" w:lineRule="auto"/>
        <w:ind w:firstLine="567"/>
      </w:pPr>
      <w:r>
        <w:t>As principais fontes dos alergenos testados na bateria padronizada no Brasilpertencem aos seguintes grupos: antissépticos (irgasan, timerosol), borracha (carba-mix, tiuram-mix, mercapto-mix, PPD-mix, hidroquinona, parafenilenodiamina), conservantes (formaldeído e liberadores de formaldeído - quaternium,</w:t>
      </w:r>
      <w:proofErr w:type="gramStart"/>
      <w:r>
        <w:t xml:space="preserve">  </w:t>
      </w:r>
      <w:proofErr w:type="gramEnd"/>
      <w:r>
        <w:t>Kathon CG), estabilizantes (etilenodiamina), fragrâncias (balsámo do Peru, fragrância-mix), medicamentos (benzocaína, prometazina, neomicina, nitrofurazona, quinolinas-mix), metais (bicromato de potássio, cloreto de cobalto e sulfato de níquel), resinas (butilfenol para- terciário, epóxi, terebintina, colofônio), outras (antraquinona, lanolina, propilenoglicol).</w:t>
      </w:r>
    </w:p>
    <w:p w:rsidR="00D247FB" w:rsidRDefault="00D247FB" w:rsidP="00DF0550">
      <w:pPr>
        <w:spacing w:line="480" w:lineRule="auto"/>
        <w:ind w:firstLine="567"/>
      </w:pPr>
    </w:p>
    <w:p w:rsidR="00D247FB" w:rsidRDefault="00D247FB" w:rsidP="00DF0550">
      <w:pPr>
        <w:spacing w:line="480" w:lineRule="auto"/>
        <w:ind w:firstLine="567"/>
      </w:pPr>
    </w:p>
    <w:p w:rsidR="00D247FB" w:rsidRDefault="00D247FB" w:rsidP="00A7017D">
      <w:pPr>
        <w:spacing w:line="480" w:lineRule="auto"/>
        <w:ind w:firstLine="567"/>
        <w:jc w:val="both"/>
      </w:pPr>
    </w:p>
    <w:p w:rsidR="00D247FB" w:rsidRDefault="00D247FB" w:rsidP="00A7017D">
      <w:pPr>
        <w:spacing w:line="480" w:lineRule="auto"/>
        <w:ind w:firstLine="567"/>
        <w:jc w:val="both"/>
      </w:pPr>
    </w:p>
    <w:p w:rsidR="00D247FB" w:rsidRDefault="00D247FB" w:rsidP="00A7017D">
      <w:pPr>
        <w:spacing w:line="480" w:lineRule="auto"/>
        <w:ind w:firstLine="567"/>
        <w:jc w:val="both"/>
      </w:pPr>
    </w:p>
    <w:p w:rsidR="00D247FB" w:rsidRDefault="00D247FB" w:rsidP="00A7017D">
      <w:pPr>
        <w:spacing w:line="480" w:lineRule="auto"/>
        <w:ind w:firstLine="567"/>
        <w:jc w:val="both"/>
      </w:pPr>
    </w:p>
    <w:p w:rsidR="00A7017D" w:rsidRDefault="00A7017D" w:rsidP="00A7017D">
      <w:pPr>
        <w:pStyle w:val="Textoindependiente"/>
        <w:spacing w:line="480" w:lineRule="auto"/>
        <w:jc w:val="both"/>
        <w:rPr>
          <w:sz w:val="24"/>
        </w:rPr>
      </w:pPr>
      <w:r>
        <w:rPr>
          <w:b/>
          <w:bCs/>
          <w:sz w:val="24"/>
        </w:rPr>
        <w:lastRenderedPageBreak/>
        <w:t xml:space="preserve">Tabela </w:t>
      </w:r>
      <w:r w:rsidR="00D247FB">
        <w:rPr>
          <w:b/>
          <w:bCs/>
          <w:sz w:val="24"/>
        </w:rPr>
        <w:t>3.</w:t>
      </w:r>
      <w:r>
        <w:rPr>
          <w:b/>
          <w:bCs/>
          <w:sz w:val="24"/>
        </w:rPr>
        <w:t xml:space="preserve"> Bateria de Cosméticos do Grupo Brasileiro de Estudo em Dermatite de Contato (GBEDC)</w:t>
      </w:r>
    </w:p>
    <w:tbl>
      <w:tblPr>
        <w:tblW w:w="7620" w:type="dxa"/>
        <w:tblLayout w:type="fixed"/>
        <w:tblLook w:val="0000" w:firstRow="0" w:lastRow="0" w:firstColumn="0" w:lastColumn="0" w:noHBand="0" w:noVBand="0"/>
      </w:tblPr>
      <w:tblGrid>
        <w:gridCol w:w="5211"/>
        <w:gridCol w:w="2409"/>
      </w:tblGrid>
      <w:tr w:rsidR="00A7017D" w:rsidTr="00F30763">
        <w:tc>
          <w:tcPr>
            <w:tcW w:w="5211" w:type="dxa"/>
          </w:tcPr>
          <w:p w:rsidR="00A7017D" w:rsidRDefault="00A7017D" w:rsidP="00D760CF">
            <w:pPr>
              <w:pStyle w:val="Textoindependiente"/>
              <w:spacing w:line="480" w:lineRule="auto"/>
              <w:jc w:val="both"/>
              <w:rPr>
                <w:b/>
                <w:sz w:val="24"/>
              </w:rPr>
            </w:pPr>
            <w:r>
              <w:rPr>
                <w:b/>
                <w:sz w:val="24"/>
              </w:rPr>
              <w:t>Substância</w:t>
            </w:r>
          </w:p>
        </w:tc>
        <w:tc>
          <w:tcPr>
            <w:tcW w:w="2409" w:type="dxa"/>
          </w:tcPr>
          <w:p w:rsidR="00A7017D" w:rsidRDefault="00F30763" w:rsidP="00D247FB">
            <w:pPr>
              <w:pStyle w:val="Textoindependiente"/>
              <w:spacing w:line="480" w:lineRule="auto"/>
              <w:jc w:val="right"/>
              <w:rPr>
                <w:b/>
                <w:sz w:val="24"/>
              </w:rPr>
            </w:pPr>
            <w:r>
              <w:rPr>
                <w:b/>
                <w:sz w:val="24"/>
              </w:rPr>
              <w:t xml:space="preserve">          </w:t>
            </w:r>
            <w:r w:rsidR="00A7017D">
              <w:rPr>
                <w:b/>
                <w:sz w:val="24"/>
              </w:rPr>
              <w:t>%</w:t>
            </w:r>
          </w:p>
        </w:tc>
      </w:tr>
      <w:tr w:rsidR="00A7017D" w:rsidTr="00F30763">
        <w:tc>
          <w:tcPr>
            <w:tcW w:w="5211" w:type="dxa"/>
          </w:tcPr>
          <w:p w:rsidR="00A7017D" w:rsidRDefault="00A7017D" w:rsidP="00D760CF">
            <w:pPr>
              <w:spacing w:line="480" w:lineRule="auto"/>
              <w:jc w:val="both"/>
            </w:pPr>
            <w:r>
              <w:rPr>
                <w:color w:val="000000"/>
              </w:rPr>
              <w:t xml:space="preserve">1- Germal 115 </w:t>
            </w:r>
            <w:proofErr w:type="gramStart"/>
            <w:r>
              <w:rPr>
                <w:color w:val="000000"/>
              </w:rPr>
              <w:t xml:space="preserve">( </w:t>
            </w:r>
            <w:proofErr w:type="gramEnd"/>
            <w:r>
              <w:rPr>
                <w:color w:val="000000"/>
              </w:rPr>
              <w:t>Imidazolidiniluréia )</w:t>
            </w:r>
          </w:p>
        </w:tc>
        <w:tc>
          <w:tcPr>
            <w:tcW w:w="2409" w:type="dxa"/>
          </w:tcPr>
          <w:p w:rsidR="00A7017D" w:rsidRDefault="00F30763" w:rsidP="00D247FB">
            <w:pPr>
              <w:spacing w:line="480" w:lineRule="auto"/>
              <w:jc w:val="right"/>
              <w:rPr>
                <w:lang w:val="en-US"/>
              </w:rPr>
            </w:pPr>
            <w:r>
              <w:rPr>
                <w:lang w:val="en-US"/>
              </w:rPr>
              <w:t xml:space="preserve">           </w:t>
            </w:r>
            <w:r w:rsidR="00A7017D">
              <w:rPr>
                <w:lang w:val="en-US"/>
              </w:rPr>
              <w:t>2</w:t>
            </w:r>
          </w:p>
        </w:tc>
      </w:tr>
      <w:tr w:rsidR="00A7017D" w:rsidTr="00F30763">
        <w:tc>
          <w:tcPr>
            <w:tcW w:w="5211" w:type="dxa"/>
          </w:tcPr>
          <w:p w:rsidR="00A7017D" w:rsidRDefault="00A7017D" w:rsidP="00D760CF">
            <w:pPr>
              <w:spacing w:line="480" w:lineRule="auto"/>
              <w:jc w:val="both"/>
              <w:rPr>
                <w:lang w:val="en-US"/>
              </w:rPr>
            </w:pPr>
            <w:r>
              <w:rPr>
                <w:lang w:val="en-US"/>
              </w:rPr>
              <w:t>2-</w:t>
            </w:r>
            <w:r>
              <w:rPr>
                <w:color w:val="000000"/>
                <w:lang w:val="en-US"/>
              </w:rPr>
              <w:t>BHT (butil hidróxi-tolueno)</w:t>
            </w:r>
          </w:p>
        </w:tc>
        <w:tc>
          <w:tcPr>
            <w:tcW w:w="2409" w:type="dxa"/>
          </w:tcPr>
          <w:p w:rsidR="00A7017D" w:rsidRDefault="00F30763" w:rsidP="00D247FB">
            <w:pPr>
              <w:spacing w:line="480" w:lineRule="auto"/>
              <w:jc w:val="right"/>
            </w:pPr>
            <w:r>
              <w:t xml:space="preserve">          </w:t>
            </w:r>
            <w:proofErr w:type="gramStart"/>
            <w:r w:rsidR="00A7017D">
              <w:t>2</w:t>
            </w:r>
            <w:proofErr w:type="gramEnd"/>
          </w:p>
        </w:tc>
      </w:tr>
      <w:tr w:rsidR="00A7017D" w:rsidTr="00F30763">
        <w:tc>
          <w:tcPr>
            <w:tcW w:w="5211" w:type="dxa"/>
          </w:tcPr>
          <w:p w:rsidR="00A7017D" w:rsidRDefault="00A7017D" w:rsidP="00D760CF">
            <w:pPr>
              <w:spacing w:line="480" w:lineRule="auto"/>
              <w:jc w:val="both"/>
            </w:pPr>
            <w:r>
              <w:t>3-</w:t>
            </w:r>
            <w:r>
              <w:rPr>
                <w:color w:val="000000"/>
              </w:rPr>
              <w:t>Resina tonsilamida/formaldeído</w:t>
            </w:r>
          </w:p>
        </w:tc>
        <w:tc>
          <w:tcPr>
            <w:tcW w:w="2409" w:type="dxa"/>
          </w:tcPr>
          <w:p w:rsidR="00A7017D" w:rsidRDefault="00F30763" w:rsidP="00D247FB">
            <w:pPr>
              <w:spacing w:line="480" w:lineRule="auto"/>
              <w:jc w:val="right"/>
            </w:pPr>
            <w:r>
              <w:t xml:space="preserve">         </w:t>
            </w:r>
            <w:r w:rsidR="00A7017D">
              <w:t>10</w:t>
            </w:r>
          </w:p>
        </w:tc>
      </w:tr>
      <w:tr w:rsidR="00A7017D" w:rsidTr="00F30763">
        <w:tc>
          <w:tcPr>
            <w:tcW w:w="5211" w:type="dxa"/>
          </w:tcPr>
          <w:p w:rsidR="00A7017D" w:rsidRDefault="00A7017D" w:rsidP="00D760CF">
            <w:pPr>
              <w:spacing w:line="480" w:lineRule="auto"/>
              <w:jc w:val="both"/>
            </w:pPr>
            <w:r>
              <w:t>4-</w:t>
            </w:r>
            <w:r>
              <w:rPr>
                <w:color w:val="000000"/>
              </w:rPr>
              <w:t>Trietanolamina</w:t>
            </w:r>
          </w:p>
        </w:tc>
        <w:tc>
          <w:tcPr>
            <w:tcW w:w="2409" w:type="dxa"/>
          </w:tcPr>
          <w:p w:rsidR="00A7017D" w:rsidRDefault="00F30763" w:rsidP="00D247FB">
            <w:pPr>
              <w:spacing w:line="480" w:lineRule="auto"/>
              <w:jc w:val="right"/>
            </w:pPr>
            <w:r>
              <w:t xml:space="preserve">         </w:t>
            </w:r>
            <w:r w:rsidR="00A7017D">
              <w:t>2,5</w:t>
            </w:r>
          </w:p>
        </w:tc>
      </w:tr>
      <w:tr w:rsidR="00A7017D" w:rsidTr="00F30763">
        <w:tc>
          <w:tcPr>
            <w:tcW w:w="5211" w:type="dxa"/>
          </w:tcPr>
          <w:p w:rsidR="00A7017D" w:rsidRDefault="00A7017D" w:rsidP="00D760CF">
            <w:pPr>
              <w:spacing w:line="480" w:lineRule="auto"/>
              <w:jc w:val="both"/>
            </w:pPr>
            <w:r>
              <w:t>5-</w:t>
            </w:r>
            <w:r>
              <w:rPr>
                <w:color w:val="000000"/>
              </w:rPr>
              <w:t xml:space="preserve">Bronopol </w:t>
            </w:r>
            <w:proofErr w:type="gramStart"/>
            <w:r>
              <w:rPr>
                <w:color w:val="000000"/>
              </w:rPr>
              <w:t xml:space="preserve">( </w:t>
            </w:r>
            <w:proofErr w:type="gramEnd"/>
            <w:r>
              <w:rPr>
                <w:color w:val="000000"/>
              </w:rPr>
              <w:t>bromo-2-nitropropano-1,3-diol 2 )</w:t>
            </w:r>
          </w:p>
        </w:tc>
        <w:tc>
          <w:tcPr>
            <w:tcW w:w="2409" w:type="dxa"/>
          </w:tcPr>
          <w:p w:rsidR="00A7017D" w:rsidRDefault="00F30763" w:rsidP="00D247FB">
            <w:pPr>
              <w:spacing w:line="480" w:lineRule="auto"/>
              <w:jc w:val="right"/>
            </w:pPr>
            <w:r>
              <w:t xml:space="preserve">         </w:t>
            </w:r>
            <w:r w:rsidR="00A7017D">
              <w:t>0,5</w:t>
            </w:r>
          </w:p>
        </w:tc>
      </w:tr>
      <w:tr w:rsidR="00A7017D" w:rsidTr="00F30763">
        <w:tc>
          <w:tcPr>
            <w:tcW w:w="5211" w:type="dxa"/>
          </w:tcPr>
          <w:p w:rsidR="00A7017D" w:rsidRDefault="00A7017D" w:rsidP="00D760CF">
            <w:pPr>
              <w:spacing w:line="480" w:lineRule="auto"/>
              <w:jc w:val="both"/>
            </w:pPr>
            <w:r>
              <w:t>6-</w:t>
            </w:r>
            <w:r>
              <w:rPr>
                <w:color w:val="000000"/>
              </w:rPr>
              <w:t xml:space="preserve"> Cloracetamida</w:t>
            </w:r>
          </w:p>
        </w:tc>
        <w:tc>
          <w:tcPr>
            <w:tcW w:w="2409" w:type="dxa"/>
          </w:tcPr>
          <w:p w:rsidR="00A7017D" w:rsidRDefault="00F30763" w:rsidP="00D247FB">
            <w:pPr>
              <w:spacing w:line="480" w:lineRule="auto"/>
              <w:jc w:val="right"/>
            </w:pPr>
            <w:r>
              <w:t xml:space="preserve">        </w:t>
            </w:r>
            <w:r w:rsidR="00A7017D">
              <w:t>0,2</w:t>
            </w:r>
          </w:p>
        </w:tc>
      </w:tr>
      <w:tr w:rsidR="00A7017D" w:rsidTr="00F30763">
        <w:tc>
          <w:tcPr>
            <w:tcW w:w="5211" w:type="dxa"/>
          </w:tcPr>
          <w:p w:rsidR="00A7017D" w:rsidRDefault="00A7017D" w:rsidP="00D760CF">
            <w:pPr>
              <w:spacing w:line="480" w:lineRule="auto"/>
              <w:jc w:val="both"/>
            </w:pPr>
            <w:r>
              <w:t>7-Ácido sórbico</w:t>
            </w:r>
          </w:p>
        </w:tc>
        <w:tc>
          <w:tcPr>
            <w:tcW w:w="2409" w:type="dxa"/>
          </w:tcPr>
          <w:p w:rsidR="00A7017D" w:rsidRDefault="00F30763" w:rsidP="00D247FB">
            <w:pPr>
              <w:spacing w:line="480" w:lineRule="auto"/>
              <w:jc w:val="right"/>
            </w:pPr>
            <w:r>
              <w:t xml:space="preserve">          </w:t>
            </w:r>
            <w:proofErr w:type="gramStart"/>
            <w:r w:rsidR="00A7017D">
              <w:t>2</w:t>
            </w:r>
            <w:proofErr w:type="gramEnd"/>
          </w:p>
        </w:tc>
      </w:tr>
      <w:tr w:rsidR="00A7017D" w:rsidTr="00F30763">
        <w:tc>
          <w:tcPr>
            <w:tcW w:w="5211" w:type="dxa"/>
          </w:tcPr>
          <w:p w:rsidR="00A7017D" w:rsidRDefault="00A7017D" w:rsidP="00D760CF">
            <w:pPr>
              <w:spacing w:line="480" w:lineRule="auto"/>
              <w:jc w:val="both"/>
            </w:pPr>
            <w:r>
              <w:t>8-</w:t>
            </w:r>
            <w:r>
              <w:rPr>
                <w:color w:val="000000"/>
              </w:rPr>
              <w:t>tioglicolato de amônio</w:t>
            </w:r>
          </w:p>
        </w:tc>
        <w:tc>
          <w:tcPr>
            <w:tcW w:w="2409" w:type="dxa"/>
          </w:tcPr>
          <w:p w:rsidR="00A7017D" w:rsidRDefault="00F30763" w:rsidP="00D247FB">
            <w:pPr>
              <w:spacing w:line="480" w:lineRule="auto"/>
              <w:jc w:val="right"/>
            </w:pPr>
            <w:r>
              <w:t xml:space="preserve">        </w:t>
            </w:r>
            <w:r w:rsidR="00A7017D">
              <w:t>2,5</w:t>
            </w:r>
          </w:p>
        </w:tc>
      </w:tr>
      <w:tr w:rsidR="00A7017D" w:rsidTr="00F30763">
        <w:tc>
          <w:tcPr>
            <w:tcW w:w="5211" w:type="dxa"/>
          </w:tcPr>
          <w:p w:rsidR="00A7017D" w:rsidRDefault="00A7017D" w:rsidP="00D760CF">
            <w:pPr>
              <w:spacing w:line="480" w:lineRule="auto"/>
              <w:jc w:val="both"/>
            </w:pPr>
            <w:r>
              <w:t>9-</w:t>
            </w:r>
            <w:r>
              <w:rPr>
                <w:color w:val="000000"/>
              </w:rPr>
              <w:t>Amerchol – 101*</w:t>
            </w:r>
          </w:p>
        </w:tc>
        <w:tc>
          <w:tcPr>
            <w:tcW w:w="2409" w:type="dxa"/>
          </w:tcPr>
          <w:p w:rsidR="00A7017D" w:rsidRDefault="00F30763" w:rsidP="00D247FB">
            <w:pPr>
              <w:spacing w:line="480" w:lineRule="auto"/>
              <w:jc w:val="right"/>
            </w:pPr>
            <w:r>
              <w:t xml:space="preserve">       </w:t>
            </w:r>
            <w:r w:rsidR="00A7017D">
              <w:t>100</w:t>
            </w:r>
          </w:p>
        </w:tc>
      </w:tr>
      <w:tr w:rsidR="00A7017D" w:rsidTr="00F30763">
        <w:tc>
          <w:tcPr>
            <w:tcW w:w="5211" w:type="dxa"/>
          </w:tcPr>
          <w:p w:rsidR="00A7017D" w:rsidRDefault="00A7017D" w:rsidP="00D760CF">
            <w:pPr>
              <w:spacing w:line="480" w:lineRule="auto"/>
              <w:jc w:val="both"/>
            </w:pPr>
            <w:r>
              <w:t>10-</w:t>
            </w:r>
            <w:r>
              <w:rPr>
                <w:color w:val="000000"/>
              </w:rPr>
              <w:t>Clorhexidine**</w:t>
            </w:r>
          </w:p>
        </w:tc>
        <w:tc>
          <w:tcPr>
            <w:tcW w:w="2409" w:type="dxa"/>
          </w:tcPr>
          <w:p w:rsidR="00A7017D" w:rsidRDefault="00F30763" w:rsidP="00D247FB">
            <w:pPr>
              <w:spacing w:line="480" w:lineRule="auto"/>
              <w:jc w:val="right"/>
            </w:pPr>
            <w:r>
              <w:t xml:space="preserve">        </w:t>
            </w:r>
            <w:r w:rsidR="00A7017D">
              <w:t>0,5</w:t>
            </w:r>
          </w:p>
        </w:tc>
      </w:tr>
    </w:tbl>
    <w:p w:rsidR="00A7017D" w:rsidRDefault="00A7017D" w:rsidP="00A7017D">
      <w:pPr>
        <w:pStyle w:val="Textoindependiente"/>
        <w:spacing w:line="480" w:lineRule="auto"/>
        <w:ind w:left="360"/>
        <w:jc w:val="both"/>
        <w:rPr>
          <w:sz w:val="24"/>
        </w:rPr>
      </w:pPr>
      <w:r>
        <w:rPr>
          <w:sz w:val="24"/>
        </w:rPr>
        <w:t>*não é diluído</w:t>
      </w:r>
    </w:p>
    <w:p w:rsidR="00A7017D" w:rsidRDefault="00A7017D" w:rsidP="00DF0550">
      <w:pPr>
        <w:pStyle w:val="Textoindependiente"/>
        <w:spacing w:line="480" w:lineRule="auto"/>
        <w:ind w:left="360"/>
        <w:rPr>
          <w:sz w:val="24"/>
        </w:rPr>
      </w:pPr>
      <w:r>
        <w:rPr>
          <w:sz w:val="24"/>
        </w:rPr>
        <w:t>**diluído em água e os demais em vaselina sólida</w:t>
      </w:r>
    </w:p>
    <w:p w:rsidR="00A7017D" w:rsidRDefault="00A7017D" w:rsidP="00DF0550">
      <w:pPr>
        <w:pStyle w:val="Textoindependiente"/>
        <w:spacing w:line="480" w:lineRule="auto"/>
        <w:ind w:firstLine="567"/>
        <w:rPr>
          <w:sz w:val="24"/>
        </w:rPr>
      </w:pPr>
      <w:r>
        <w:rPr>
          <w:sz w:val="24"/>
        </w:rPr>
        <w:t xml:space="preserve">As substâncias são </w:t>
      </w:r>
      <w:proofErr w:type="gramStart"/>
      <w:r>
        <w:rPr>
          <w:sz w:val="24"/>
        </w:rPr>
        <w:t>colocadas em contensores de diversos tipos e colocados na pele com adesivohipoalergênico, preferencialmente no dorso</w:t>
      </w:r>
      <w:proofErr w:type="gramEnd"/>
      <w:r>
        <w:rPr>
          <w:sz w:val="24"/>
        </w:rPr>
        <w:t>.</w:t>
      </w:r>
    </w:p>
    <w:p w:rsidR="00A7017D" w:rsidRDefault="00A7017D" w:rsidP="00DF0550">
      <w:pPr>
        <w:pStyle w:val="Textoindependiente"/>
        <w:spacing w:line="480" w:lineRule="auto"/>
        <w:ind w:firstLine="567"/>
        <w:rPr>
          <w:sz w:val="24"/>
        </w:rPr>
      </w:pPr>
      <w:r>
        <w:rPr>
          <w:sz w:val="24"/>
        </w:rPr>
        <w:t>Pede-se ao paciente para não molhar o local dos testes, não realizar movimentos bruscos para não descolar os adesivos e se houver uma sintomatologia mais grave (prurido é comum), retirar o teste responsável e se houver algum sintoma sistêmico, o que é muito raro, retirar todos os testes eprocurar auxílio médico imediatamente</w:t>
      </w:r>
      <w:r>
        <w:t>.</w:t>
      </w:r>
      <w:r>
        <w:rPr>
          <w:rFonts w:ascii="(Usar fonte para texto asiático" w:hAnsi="(Usar fonte para texto asiático"/>
          <w:vertAlign w:val="superscript"/>
        </w:rPr>
        <w:t>20</w:t>
      </w:r>
      <w:r>
        <w:rPr>
          <w:sz w:val="24"/>
        </w:rPr>
        <w:t>.</w:t>
      </w:r>
    </w:p>
    <w:p w:rsidR="00A7017D" w:rsidRDefault="00A7017D" w:rsidP="00DF0550">
      <w:pPr>
        <w:pStyle w:val="Textoindependiente"/>
        <w:spacing w:line="480" w:lineRule="auto"/>
        <w:ind w:firstLine="567"/>
        <w:rPr>
          <w:sz w:val="24"/>
        </w:rPr>
      </w:pPr>
      <w:r>
        <w:rPr>
          <w:sz w:val="24"/>
        </w:rPr>
        <w:t xml:space="preserve">A primeira leitura éfeita após 48 horas  da colocação dos testes (30 minutos depois da retirada dos contensores) e a segunda, após 96 horas. A leitura de 96 horas é a mais importante para o resultado do teste, pois as reações irritativas já se atenuaram e a reação à maioria dos alergenos também já ocorreu. Reaçõesno local do teste que se </w:t>
      </w:r>
      <w:r>
        <w:rPr>
          <w:sz w:val="24"/>
        </w:rPr>
        <w:lastRenderedPageBreak/>
        <w:t>mantêm ou aumentam na leitura de 96 horas, é sugestivo de sensibilização e que esmaecem após 24 horas da remoção do TC é devido possivelmente   à ação irritante da substância testada.</w:t>
      </w:r>
      <w:r>
        <w:rPr>
          <w:rFonts w:ascii="(Usar fonte para texto asiático" w:hAnsi="(Usar fonte para texto asiático"/>
          <w:vertAlign w:val="superscript"/>
        </w:rPr>
        <w:t>21</w:t>
      </w:r>
    </w:p>
    <w:p w:rsidR="00A7017D" w:rsidRDefault="00A7017D" w:rsidP="00DF0550">
      <w:pPr>
        <w:pStyle w:val="Textoindependiente"/>
        <w:spacing w:line="480" w:lineRule="auto"/>
        <w:ind w:firstLine="567"/>
        <w:rPr>
          <w:sz w:val="24"/>
        </w:rPr>
      </w:pPr>
      <w:r>
        <w:rPr>
          <w:sz w:val="24"/>
        </w:rPr>
        <w:t xml:space="preserve">Os critérios de leitura estabelecidos pelo </w:t>
      </w:r>
      <w:r>
        <w:rPr>
          <w:i/>
          <w:sz w:val="24"/>
        </w:rPr>
        <w:t>Internacional Contact Dermatitis Research Group</w:t>
      </w:r>
      <w:r>
        <w:rPr>
          <w:sz w:val="24"/>
        </w:rPr>
        <w:t xml:space="preserve"> (ICDRG) são:</w:t>
      </w:r>
    </w:p>
    <w:p w:rsidR="00A7017D" w:rsidRDefault="00A7017D" w:rsidP="00DF0550">
      <w:pPr>
        <w:pStyle w:val="Textoindependiente"/>
        <w:spacing w:line="480" w:lineRule="auto"/>
        <w:ind w:firstLine="567"/>
        <w:rPr>
          <w:sz w:val="24"/>
        </w:rPr>
      </w:pPr>
      <w:r>
        <w:rPr>
          <w:sz w:val="24"/>
        </w:rPr>
        <w:t>- negativo (-): sem reação</w:t>
      </w:r>
    </w:p>
    <w:p w:rsidR="00A7017D" w:rsidRDefault="00A7017D" w:rsidP="00DF0550">
      <w:pPr>
        <w:pStyle w:val="Textoindependiente"/>
        <w:spacing w:line="480" w:lineRule="auto"/>
        <w:ind w:firstLine="567"/>
        <w:rPr>
          <w:sz w:val="24"/>
        </w:rPr>
      </w:pPr>
      <w:r>
        <w:rPr>
          <w:sz w:val="24"/>
        </w:rPr>
        <w:t>- duvidoso (+?): eritema leve mal definido</w:t>
      </w:r>
    </w:p>
    <w:p w:rsidR="00A7017D" w:rsidRDefault="00A7017D" w:rsidP="00DF0550">
      <w:pPr>
        <w:pStyle w:val="Textoindependiente"/>
        <w:spacing w:line="480" w:lineRule="auto"/>
        <w:ind w:firstLine="567"/>
        <w:rPr>
          <w:sz w:val="24"/>
        </w:rPr>
      </w:pPr>
      <w:r>
        <w:rPr>
          <w:sz w:val="24"/>
        </w:rPr>
        <w:t>- positivo fraco (+): eritema definido, infiltração e pápula</w:t>
      </w:r>
    </w:p>
    <w:p w:rsidR="00A7017D" w:rsidRDefault="00A7017D" w:rsidP="00DF0550">
      <w:pPr>
        <w:pStyle w:val="Textoindependiente"/>
        <w:spacing w:line="480" w:lineRule="auto"/>
        <w:ind w:firstLine="567"/>
        <w:rPr>
          <w:sz w:val="24"/>
        </w:rPr>
      </w:pPr>
      <w:r>
        <w:rPr>
          <w:sz w:val="24"/>
        </w:rPr>
        <w:t>- positivo forte (++</w:t>
      </w:r>
      <w:proofErr w:type="gramStart"/>
      <w:r>
        <w:rPr>
          <w:sz w:val="24"/>
        </w:rPr>
        <w:t>):</w:t>
      </w:r>
      <w:proofErr w:type="gramEnd"/>
      <w:r>
        <w:rPr>
          <w:sz w:val="24"/>
        </w:rPr>
        <w:t>eritema, infiltração, pápula, vesícula</w:t>
      </w:r>
    </w:p>
    <w:p w:rsidR="00A7017D" w:rsidRDefault="00A7017D" w:rsidP="00DF0550">
      <w:pPr>
        <w:pStyle w:val="Textoindependiente"/>
        <w:spacing w:line="480" w:lineRule="auto"/>
        <w:ind w:firstLine="567"/>
        <w:rPr>
          <w:sz w:val="24"/>
        </w:rPr>
      </w:pPr>
      <w:r>
        <w:rPr>
          <w:sz w:val="24"/>
        </w:rPr>
        <w:t>- positivo muito forte (+++): eritema, infiltração, pápula, vesículas coalescentes formando bolha;</w:t>
      </w:r>
    </w:p>
    <w:p w:rsidR="00A7017D" w:rsidRDefault="00A7017D" w:rsidP="00DF0550">
      <w:pPr>
        <w:pStyle w:val="Textoindependiente"/>
        <w:spacing w:line="480" w:lineRule="auto"/>
        <w:ind w:firstLine="567"/>
        <w:rPr>
          <w:sz w:val="24"/>
        </w:rPr>
      </w:pPr>
      <w:r>
        <w:rPr>
          <w:sz w:val="24"/>
        </w:rPr>
        <w:t>- RI: reação irritativa</w:t>
      </w:r>
    </w:p>
    <w:p w:rsidR="00A7017D" w:rsidRDefault="00A7017D" w:rsidP="00DF0550">
      <w:pPr>
        <w:pStyle w:val="Textoindependiente"/>
        <w:spacing w:line="480" w:lineRule="auto"/>
        <w:ind w:firstLine="567"/>
        <w:rPr>
          <w:sz w:val="24"/>
        </w:rPr>
      </w:pPr>
      <w:r>
        <w:rPr>
          <w:sz w:val="24"/>
        </w:rPr>
        <w:t>- NT: não testado</w:t>
      </w:r>
    </w:p>
    <w:p w:rsidR="00A7017D" w:rsidRDefault="00A7017D" w:rsidP="00A7017D">
      <w:pPr>
        <w:spacing w:line="480" w:lineRule="auto"/>
        <w:ind w:firstLine="1440"/>
        <w:jc w:val="both"/>
        <w:rPr>
          <w:rFonts w:ascii="Arial" w:hAnsi="Arial" w:cs="Arial"/>
        </w:rPr>
      </w:pPr>
      <w:r>
        <w:tab/>
      </w:r>
    </w:p>
    <w:p w:rsidR="00A7017D" w:rsidRDefault="00A7017D" w:rsidP="00DF0550">
      <w:pPr>
        <w:spacing w:line="480" w:lineRule="auto"/>
        <w:ind w:firstLine="567"/>
      </w:pPr>
      <w:r>
        <w:t xml:space="preserve">Reações falso-positivas podem ocorrer por vários fatores como alta concentração do AG, quantidadeelevada da substância testada, aplicação em áreas próximas à dermatite, teste realizado na presença de dermatite aguda, substância ou veículo irritante, reação à fita adesiva, substâncias em veículo líquido concentradas pelo tempo e síndrome da pele excitada. </w:t>
      </w:r>
    </w:p>
    <w:p w:rsidR="00A7017D" w:rsidRDefault="00A7017D" w:rsidP="00DF0550">
      <w:pPr>
        <w:spacing w:line="480" w:lineRule="auto"/>
        <w:ind w:firstLine="567"/>
      </w:pPr>
      <w:r>
        <w:t>A síndrome da pele excitada (</w:t>
      </w:r>
      <w:r>
        <w:rPr>
          <w:i/>
        </w:rPr>
        <w:t>Angry</w:t>
      </w:r>
      <w:bookmarkStart w:id="0" w:name="_GoBack"/>
      <w:bookmarkEnd w:id="0"/>
      <w:r>
        <w:rPr>
          <w:i/>
        </w:rPr>
        <w:t xml:space="preserve"> Back Syndrome</w:t>
      </w:r>
      <w:r>
        <w:t xml:space="preserve">) caracteriza-se pela presença de numerosos testes positivos não relacionados na primeira testagem e que não são reproduzidos quando </w:t>
      </w:r>
      <w:proofErr w:type="gramStart"/>
      <w:r>
        <w:t>repetidos.</w:t>
      </w:r>
      <w:proofErr w:type="gramEnd"/>
      <w:r>
        <w:rPr>
          <w:vertAlign w:val="superscript"/>
        </w:rPr>
        <w:t>20, 21</w:t>
      </w:r>
      <w:r>
        <w:t xml:space="preserve"> Deve-se retestar os positivos distantes uns dos outros; se a positividade for  três cruzes, testar as substâncias uma a uma isoladamente. </w:t>
      </w:r>
    </w:p>
    <w:p w:rsidR="00A7017D" w:rsidRDefault="00A7017D" w:rsidP="00DF0550">
      <w:pPr>
        <w:spacing w:line="480" w:lineRule="auto"/>
        <w:ind w:firstLine="567"/>
        <w:rPr>
          <w:color w:val="FF0000"/>
        </w:rPr>
      </w:pPr>
      <w:r>
        <w:t>Testes negativos podem ser porque a dermatite não é de contato ou a DC não é alérgica.</w:t>
      </w:r>
    </w:p>
    <w:p w:rsidR="00A7017D" w:rsidRDefault="00A7017D" w:rsidP="00DF0550">
      <w:pPr>
        <w:spacing w:line="480" w:lineRule="auto"/>
        <w:ind w:firstLine="567"/>
      </w:pPr>
      <w:r>
        <w:lastRenderedPageBreak/>
        <w:t xml:space="preserve">Reações falso–negativas também podem ocorrer por: baixa concentração do alergeno, veículo inadequado, oclusão insuficiente, local da aplicaçãonão reproduz as condições da região da dermatite (sudorese, maceração, pressão, fricção), retirada em tempo inferior a 48 horas,a substância causadora não foi testada, a substância é um fotossensibilizante e fatores imunodepressores como uso de  corticosteróide tópico ou exposição à radiação solar no local do teste, ou uso de corticosteróide sistêmico dias antes ou durante o teste. </w:t>
      </w:r>
      <w:r>
        <w:rPr>
          <w:lang w:eastAsia="en-US"/>
        </w:rPr>
        <w:t xml:space="preserve">Para a </w:t>
      </w:r>
      <w:r>
        <w:t xml:space="preserve">interpretação dos resultados obtidos deve-se basear na história e no quadro clínico do </w:t>
      </w:r>
      <w:proofErr w:type="gramStart"/>
      <w:r>
        <w:t>paciente.</w:t>
      </w:r>
      <w:proofErr w:type="gramEnd"/>
      <w:r>
        <w:rPr>
          <w:rFonts w:ascii="(Usar fonte para texto asiático" w:hAnsi="(Usar fonte para texto asiático"/>
          <w:vertAlign w:val="superscript"/>
        </w:rPr>
        <w:t>2</w:t>
      </w:r>
    </w:p>
    <w:p w:rsidR="00A7017D" w:rsidRDefault="00A7017D" w:rsidP="00DF0550">
      <w:pPr>
        <w:spacing w:line="480" w:lineRule="auto"/>
        <w:ind w:firstLine="567"/>
      </w:pPr>
      <w:r>
        <w:t xml:space="preserve">Para testes positivos deve-se estabelecer a relevância clínica, isto é a correlação do teste com o quadro atual do paciente- DCA (relevância presente ou atual), </w:t>
      </w:r>
      <w:proofErr w:type="gramStart"/>
      <w:r>
        <w:t>ou seja</w:t>
      </w:r>
      <w:proofErr w:type="gramEnd"/>
      <w:r>
        <w:t xml:space="preserve">  se há nexo causal entre a substância positiva no TC e a DCA atual (dermatite em questão, ou ainda como complicação de outra dermatose ou DC inicial agravada por DCA superajuntada  por medicamentos ou equipamentos de proteção individual - EPI).  Quando há relevância atual, o afastamento do AG conduz à melhora significativa ou cura do quadro da dermatite (tabela 4).</w:t>
      </w:r>
    </w:p>
    <w:p w:rsidR="00A7017D" w:rsidRDefault="00A7017D" w:rsidP="00DF0550">
      <w:pPr>
        <w:pStyle w:val="Textoindependiente"/>
        <w:spacing w:line="480" w:lineRule="auto"/>
        <w:rPr>
          <w:b/>
          <w:bCs/>
          <w:sz w:val="24"/>
        </w:rPr>
      </w:pPr>
      <w:r>
        <w:rPr>
          <w:b/>
          <w:bCs/>
          <w:sz w:val="24"/>
        </w:rPr>
        <w:t>Tabela 4 – Classificação clínica da relevância do TC</w:t>
      </w:r>
    </w:p>
    <w:p w:rsidR="00A7017D" w:rsidRDefault="00A7017D" w:rsidP="00DF0550">
      <w:pPr>
        <w:numPr>
          <w:ilvl w:val="0"/>
          <w:numId w:val="5"/>
        </w:numPr>
        <w:spacing w:line="480" w:lineRule="auto"/>
      </w:pPr>
      <w:r>
        <w:t>IRRELEVANTE (falso positivo ou reação cruzada entre substâncias semelhantes)</w:t>
      </w:r>
    </w:p>
    <w:p w:rsidR="00A7017D" w:rsidRDefault="00A7017D" w:rsidP="00DF0550">
      <w:pPr>
        <w:numPr>
          <w:ilvl w:val="0"/>
          <w:numId w:val="5"/>
        </w:numPr>
        <w:spacing w:line="480" w:lineRule="auto"/>
      </w:pPr>
      <w:r>
        <w:t>RELEVANTE</w:t>
      </w:r>
    </w:p>
    <w:p w:rsidR="00A7017D" w:rsidRDefault="00A7017D" w:rsidP="00DF0550">
      <w:pPr>
        <w:numPr>
          <w:ilvl w:val="1"/>
          <w:numId w:val="5"/>
        </w:numPr>
        <w:spacing w:line="480" w:lineRule="auto"/>
      </w:pPr>
      <w:r>
        <w:t>Atual</w:t>
      </w:r>
    </w:p>
    <w:p w:rsidR="00A7017D" w:rsidRDefault="00A7017D" w:rsidP="00DF0550">
      <w:pPr>
        <w:numPr>
          <w:ilvl w:val="2"/>
          <w:numId w:val="5"/>
        </w:numPr>
        <w:spacing w:line="480" w:lineRule="auto"/>
        <w:ind w:left="0" w:firstLine="708"/>
      </w:pPr>
      <w:r>
        <w:t>Possível: o paciente manipula um material (Ex: luvas) que contém o AG positivo no TC (Ex: vulcanizador de borracha)</w:t>
      </w:r>
    </w:p>
    <w:p w:rsidR="00A7017D" w:rsidRDefault="00A7017D" w:rsidP="00DF0550">
      <w:pPr>
        <w:numPr>
          <w:ilvl w:val="2"/>
          <w:numId w:val="11"/>
        </w:numPr>
        <w:spacing w:line="480" w:lineRule="auto"/>
      </w:pPr>
      <w:r>
        <w:t xml:space="preserve">Provável: TC positivo para o AGe para  o material que o paciente manipula </w:t>
      </w:r>
    </w:p>
    <w:p w:rsidR="00A7017D" w:rsidRDefault="00A7017D" w:rsidP="00DF0550">
      <w:pPr>
        <w:spacing w:line="480" w:lineRule="auto"/>
        <w:ind w:firstLine="708"/>
      </w:pPr>
      <w:r>
        <w:lastRenderedPageBreak/>
        <w:t>2.1.3</w:t>
      </w:r>
      <w:proofErr w:type="gramStart"/>
      <w:r w:rsidR="0002305B">
        <w:t xml:space="preserve"> </w:t>
      </w:r>
      <w:r w:rsidR="005B13EB">
        <w:t xml:space="preserve">  </w:t>
      </w:r>
      <w:proofErr w:type="gramEnd"/>
      <w:r>
        <w:t>Definida: idem provável e há recidiva da DCA  após  re-exposição ao   material de uso do paciente</w:t>
      </w:r>
    </w:p>
    <w:p w:rsidR="00A7017D" w:rsidRDefault="00A7017D" w:rsidP="00DF0550">
      <w:pPr>
        <w:spacing w:line="480" w:lineRule="auto"/>
        <w:ind w:firstLine="708"/>
      </w:pPr>
      <w:r>
        <w:t>2.2</w:t>
      </w:r>
      <w:proofErr w:type="gramStart"/>
      <w:r w:rsidR="0002305B">
        <w:t xml:space="preserve">  </w:t>
      </w:r>
      <w:proofErr w:type="gramEnd"/>
      <w:r>
        <w:t>Passada: sensibilização prévia mas o AG não é o causador da dermatite atual</w:t>
      </w:r>
    </w:p>
    <w:p w:rsidR="00A7017D" w:rsidRDefault="00A7017D" w:rsidP="00DF0550">
      <w:pPr>
        <w:spacing w:line="480" w:lineRule="auto"/>
        <w:ind w:firstLine="708"/>
      </w:pPr>
      <w:r>
        <w:t>2.3</w:t>
      </w:r>
      <w:proofErr w:type="gramStart"/>
      <w:r w:rsidR="0002305B">
        <w:t xml:space="preserve">  </w:t>
      </w:r>
      <w:proofErr w:type="gramEnd"/>
      <w:r>
        <w:t>Indeterminada: não há certeza se  é atual ou passada</w:t>
      </w:r>
    </w:p>
    <w:p w:rsidR="00A7017D" w:rsidRDefault="00A7017D" w:rsidP="00DF0550">
      <w:pPr>
        <w:spacing w:line="480" w:lineRule="auto"/>
        <w:ind w:firstLine="708"/>
      </w:pPr>
    </w:p>
    <w:p w:rsidR="00A7017D" w:rsidRDefault="00A7017D" w:rsidP="00DF0550">
      <w:pPr>
        <w:spacing w:line="480" w:lineRule="auto"/>
        <w:ind w:firstLine="708"/>
      </w:pPr>
      <w:r>
        <w:t>Após seis meses de um TC bem conduzido teremos:</w:t>
      </w:r>
    </w:p>
    <w:p w:rsidR="00A7017D" w:rsidRDefault="00A7017D" w:rsidP="00DF0550">
      <w:pPr>
        <w:spacing w:line="480" w:lineRule="auto"/>
        <w:ind w:firstLine="708"/>
      </w:pPr>
      <w:r>
        <w:t>25% de irrelevantes</w:t>
      </w:r>
    </w:p>
    <w:p w:rsidR="00A7017D" w:rsidRDefault="00A7017D" w:rsidP="00DF0550">
      <w:pPr>
        <w:spacing w:line="480" w:lineRule="auto"/>
        <w:ind w:firstLine="708"/>
      </w:pPr>
      <w:r>
        <w:t>25% de diagnóstico definido do alergeno</w:t>
      </w:r>
    </w:p>
    <w:p w:rsidR="00A7017D" w:rsidRDefault="00A7017D" w:rsidP="00DF0550">
      <w:pPr>
        <w:spacing w:line="480" w:lineRule="auto"/>
        <w:ind w:firstLine="708"/>
      </w:pPr>
      <w:r>
        <w:t>50% de diagnóstico provável ou possível do alergeno</w:t>
      </w:r>
    </w:p>
    <w:p w:rsidR="00026B9C" w:rsidRDefault="00026B9C" w:rsidP="00DF0550">
      <w:pPr>
        <w:spacing w:line="480" w:lineRule="auto"/>
        <w:ind w:firstLine="708"/>
      </w:pPr>
    </w:p>
    <w:p w:rsidR="00026B9C" w:rsidRDefault="00026B9C" w:rsidP="00DF0550">
      <w:pPr>
        <w:spacing w:line="480" w:lineRule="auto"/>
        <w:ind w:firstLine="708"/>
      </w:pPr>
    </w:p>
    <w:p w:rsidR="00026B9C" w:rsidRDefault="00026B9C" w:rsidP="00DF0550">
      <w:pPr>
        <w:spacing w:line="480" w:lineRule="auto"/>
        <w:ind w:firstLine="708"/>
      </w:pPr>
    </w:p>
    <w:p w:rsidR="00026B9C" w:rsidRDefault="00026B9C" w:rsidP="00DF0550">
      <w:pPr>
        <w:spacing w:line="480" w:lineRule="auto"/>
        <w:ind w:firstLine="708"/>
      </w:pPr>
    </w:p>
    <w:p w:rsidR="00026B9C" w:rsidRDefault="00026B9C" w:rsidP="00A7017D">
      <w:pPr>
        <w:spacing w:line="480" w:lineRule="auto"/>
        <w:ind w:firstLine="708"/>
        <w:jc w:val="both"/>
      </w:pPr>
    </w:p>
    <w:p w:rsidR="00A7017D" w:rsidRDefault="00A7017D" w:rsidP="00A7017D">
      <w:pPr>
        <w:spacing w:line="480" w:lineRule="auto"/>
        <w:jc w:val="both"/>
      </w:pPr>
      <w:r>
        <w:rPr>
          <w:b/>
          <w:bCs/>
        </w:rPr>
        <w:t>Tabela 5 – Efeitos colaterais dos TC</w:t>
      </w:r>
    </w:p>
    <w:p w:rsidR="00A7017D" w:rsidRDefault="00A7017D" w:rsidP="00A7017D">
      <w:pPr>
        <w:numPr>
          <w:ilvl w:val="0"/>
          <w:numId w:val="6"/>
        </w:numPr>
        <w:spacing w:line="480" w:lineRule="auto"/>
        <w:jc w:val="both"/>
      </w:pPr>
      <w:proofErr w:type="gramStart"/>
      <w:r>
        <w:t>reação</w:t>
      </w:r>
      <w:proofErr w:type="gramEnd"/>
      <w:r>
        <w:t xml:space="preserve"> anafilactóide</w:t>
      </w:r>
    </w:p>
    <w:p w:rsidR="00A7017D" w:rsidRDefault="00A7017D" w:rsidP="00A7017D">
      <w:pPr>
        <w:numPr>
          <w:ilvl w:val="0"/>
          <w:numId w:val="6"/>
        </w:numPr>
        <w:spacing w:line="480" w:lineRule="auto"/>
        <w:jc w:val="both"/>
      </w:pPr>
      <w:proofErr w:type="gramStart"/>
      <w:r>
        <w:t>irritação</w:t>
      </w:r>
      <w:proofErr w:type="gramEnd"/>
      <w:r>
        <w:t xml:space="preserve"> (relativa ou absoluta com  bolha ou necrose)</w:t>
      </w:r>
    </w:p>
    <w:p w:rsidR="00A7017D" w:rsidRDefault="00A7017D" w:rsidP="00A7017D">
      <w:pPr>
        <w:numPr>
          <w:ilvl w:val="0"/>
          <w:numId w:val="6"/>
        </w:numPr>
        <w:spacing w:line="480" w:lineRule="auto"/>
        <w:jc w:val="both"/>
      </w:pPr>
      <w:proofErr w:type="gramStart"/>
      <w:r>
        <w:t>sensibilização</w:t>
      </w:r>
      <w:proofErr w:type="gramEnd"/>
      <w:r>
        <w:t xml:space="preserve"> pelo TC</w:t>
      </w:r>
    </w:p>
    <w:p w:rsidR="00A7017D" w:rsidRDefault="00A7017D" w:rsidP="00A7017D">
      <w:pPr>
        <w:numPr>
          <w:ilvl w:val="0"/>
          <w:numId w:val="6"/>
        </w:numPr>
        <w:spacing w:line="480" w:lineRule="auto"/>
        <w:jc w:val="both"/>
      </w:pPr>
      <w:proofErr w:type="gramStart"/>
      <w:r>
        <w:t>discromias</w:t>
      </w:r>
      <w:proofErr w:type="gramEnd"/>
      <w:r>
        <w:t xml:space="preserve"> (hipo ou hiperpigmentação)</w:t>
      </w:r>
    </w:p>
    <w:p w:rsidR="00A7017D" w:rsidRDefault="00A7017D" w:rsidP="00A7017D">
      <w:pPr>
        <w:numPr>
          <w:ilvl w:val="0"/>
          <w:numId w:val="6"/>
        </w:numPr>
        <w:spacing w:line="480" w:lineRule="auto"/>
        <w:jc w:val="both"/>
      </w:pPr>
      <w:proofErr w:type="gramStart"/>
      <w:r>
        <w:t>cicatriz</w:t>
      </w:r>
      <w:proofErr w:type="gramEnd"/>
      <w:r>
        <w:t>, quelóide</w:t>
      </w:r>
    </w:p>
    <w:p w:rsidR="00A7017D" w:rsidRDefault="00A7017D" w:rsidP="00A7017D">
      <w:pPr>
        <w:numPr>
          <w:ilvl w:val="0"/>
          <w:numId w:val="6"/>
        </w:numPr>
        <w:spacing w:line="480" w:lineRule="auto"/>
        <w:jc w:val="both"/>
      </w:pPr>
      <w:proofErr w:type="gramStart"/>
      <w:r>
        <w:t>granuloma</w:t>
      </w:r>
      <w:proofErr w:type="gramEnd"/>
    </w:p>
    <w:p w:rsidR="00A7017D" w:rsidRDefault="00A7017D" w:rsidP="00A7017D">
      <w:pPr>
        <w:numPr>
          <w:ilvl w:val="0"/>
          <w:numId w:val="6"/>
        </w:numPr>
        <w:spacing w:line="480" w:lineRule="auto"/>
        <w:jc w:val="both"/>
      </w:pPr>
      <w:proofErr w:type="gramStart"/>
      <w:r>
        <w:t>infecção</w:t>
      </w:r>
      <w:proofErr w:type="gramEnd"/>
    </w:p>
    <w:p w:rsidR="00A7017D" w:rsidRDefault="00A7017D" w:rsidP="00A7017D">
      <w:pPr>
        <w:numPr>
          <w:ilvl w:val="0"/>
          <w:numId w:val="6"/>
        </w:numPr>
        <w:spacing w:line="480" w:lineRule="auto"/>
        <w:jc w:val="both"/>
      </w:pPr>
      <w:proofErr w:type="gramStart"/>
      <w:r>
        <w:t>descolamento</w:t>
      </w:r>
      <w:proofErr w:type="gramEnd"/>
      <w:r>
        <w:t xml:space="preserve"> epidérmico (pênfigos)</w:t>
      </w:r>
    </w:p>
    <w:p w:rsidR="00A7017D" w:rsidRDefault="00A7017D" w:rsidP="00A7017D">
      <w:pPr>
        <w:numPr>
          <w:ilvl w:val="0"/>
          <w:numId w:val="6"/>
        </w:numPr>
        <w:spacing w:line="480" w:lineRule="auto"/>
        <w:jc w:val="both"/>
      </w:pPr>
      <w:proofErr w:type="gramStart"/>
      <w:r>
        <w:t>erupção</w:t>
      </w:r>
      <w:proofErr w:type="gramEnd"/>
      <w:r>
        <w:t xml:space="preserve"> no local da DCA atual ou prévia (absorção do alergeno do TC)</w:t>
      </w:r>
    </w:p>
    <w:p w:rsidR="00A7017D" w:rsidRDefault="00A7017D" w:rsidP="00A7017D">
      <w:pPr>
        <w:numPr>
          <w:ilvl w:val="0"/>
          <w:numId w:val="6"/>
        </w:numPr>
        <w:spacing w:line="480" w:lineRule="auto"/>
        <w:jc w:val="both"/>
      </w:pPr>
      <w:r>
        <w:t xml:space="preserve"> Fenômeno de Koëbnerpara outras dermatoses</w:t>
      </w:r>
    </w:p>
    <w:p w:rsidR="00A7017D" w:rsidRDefault="00A7017D" w:rsidP="00A7017D">
      <w:pPr>
        <w:numPr>
          <w:ilvl w:val="0"/>
          <w:numId w:val="6"/>
        </w:numPr>
        <w:spacing w:line="480" w:lineRule="auto"/>
        <w:jc w:val="both"/>
      </w:pPr>
      <w:r>
        <w:lastRenderedPageBreak/>
        <w:t>Irritação periférica por aumento da concentração na periferia do teste</w:t>
      </w:r>
    </w:p>
    <w:p w:rsidR="00A7017D" w:rsidRDefault="00A7017D" w:rsidP="00A7017D">
      <w:pPr>
        <w:numPr>
          <w:ilvl w:val="0"/>
          <w:numId w:val="6"/>
        </w:numPr>
        <w:spacing w:line="480" w:lineRule="auto"/>
        <w:jc w:val="both"/>
      </w:pPr>
      <w:r>
        <w:t>Pústulas: irritação por metais, principalmente em atópicos</w:t>
      </w:r>
    </w:p>
    <w:p w:rsidR="00A7017D" w:rsidRDefault="00A7017D" w:rsidP="00A7017D">
      <w:pPr>
        <w:spacing w:line="480" w:lineRule="auto"/>
        <w:jc w:val="both"/>
      </w:pPr>
    </w:p>
    <w:p w:rsidR="00A7017D" w:rsidRPr="002C52AE" w:rsidRDefault="00A7017D" w:rsidP="00A7017D">
      <w:pPr>
        <w:pStyle w:val="Ttulo2"/>
        <w:rPr>
          <w:b w:val="0"/>
        </w:rPr>
      </w:pPr>
      <w:r w:rsidRPr="002C52AE">
        <w:rPr>
          <w:b w:val="0"/>
        </w:rPr>
        <w:t>ORIENTAÇÃO APÓS O TC</w:t>
      </w:r>
    </w:p>
    <w:p w:rsidR="00A7017D" w:rsidRDefault="00A7017D" w:rsidP="00A7017D">
      <w:pPr>
        <w:spacing w:line="480" w:lineRule="auto"/>
        <w:jc w:val="both"/>
      </w:pPr>
    </w:p>
    <w:p w:rsidR="00A7017D" w:rsidRDefault="00A7017D" w:rsidP="00A7017D">
      <w:pPr>
        <w:numPr>
          <w:ilvl w:val="0"/>
          <w:numId w:val="7"/>
        </w:numPr>
        <w:spacing w:line="480" w:lineRule="auto"/>
        <w:jc w:val="both"/>
      </w:pPr>
      <w:r>
        <w:t>Retornar se aparecerem reações tardias</w:t>
      </w:r>
    </w:p>
    <w:p w:rsidR="00A7017D" w:rsidRDefault="00A7017D" w:rsidP="00A7017D">
      <w:pPr>
        <w:numPr>
          <w:ilvl w:val="0"/>
          <w:numId w:val="7"/>
        </w:numPr>
        <w:spacing w:line="480" w:lineRule="auto"/>
        <w:jc w:val="both"/>
      </w:pPr>
      <w:r>
        <w:t>Acompanhar o paciente por seis meses</w:t>
      </w:r>
    </w:p>
    <w:p w:rsidR="00A7017D" w:rsidRDefault="00026B9C" w:rsidP="00A7017D">
      <w:pPr>
        <w:numPr>
          <w:ilvl w:val="0"/>
          <w:numId w:val="7"/>
        </w:numPr>
        <w:tabs>
          <w:tab w:val="clear" w:pos="720"/>
          <w:tab w:val="num" w:pos="0"/>
        </w:tabs>
        <w:spacing w:line="480" w:lineRule="auto"/>
        <w:ind w:left="0" w:firstLine="360"/>
        <w:jc w:val="both"/>
      </w:pPr>
      <w:r>
        <w:t xml:space="preserve"> </w:t>
      </w:r>
      <w:r w:rsidR="00A7017D">
        <w:t>Dar folhetos explicativos: nomes (e sinônimos</w:t>
      </w:r>
      <w:proofErr w:type="gramStart"/>
      <w:r w:rsidR="00A7017D">
        <w:t>),</w:t>
      </w:r>
      <w:proofErr w:type="gramEnd"/>
      <w:r w:rsidR="00A7017D">
        <w:t>fontes das substâncias causadoras, substitutos alternativos, reações cruzadas com outras substâncias (Tabela 6 e Tabela 7).</w:t>
      </w:r>
    </w:p>
    <w:p w:rsidR="00026B9C" w:rsidRDefault="00026B9C" w:rsidP="00026B9C">
      <w:pPr>
        <w:spacing w:line="480" w:lineRule="auto"/>
        <w:jc w:val="both"/>
      </w:pPr>
    </w:p>
    <w:p w:rsidR="00A7017D" w:rsidRDefault="00A7017D" w:rsidP="00A7017D">
      <w:pPr>
        <w:spacing w:line="480" w:lineRule="auto"/>
        <w:jc w:val="both"/>
        <w:rPr>
          <w:b/>
          <w:bCs/>
        </w:rPr>
      </w:pPr>
      <w:r>
        <w:rPr>
          <w:b/>
          <w:bCs/>
        </w:rPr>
        <w:t>Tabela 6. Substitutos alternativos.</w:t>
      </w:r>
    </w:p>
    <w:p w:rsidR="00A7017D" w:rsidRDefault="00A7017D" w:rsidP="00A7017D">
      <w:pPr>
        <w:numPr>
          <w:ilvl w:val="1"/>
          <w:numId w:val="7"/>
        </w:numPr>
        <w:spacing w:line="480" w:lineRule="auto"/>
        <w:jc w:val="both"/>
      </w:pPr>
      <w:r>
        <w:t>Luvas de borracha -usar vinil ou polietileno</w:t>
      </w:r>
    </w:p>
    <w:p w:rsidR="00A7017D" w:rsidRDefault="00A7017D" w:rsidP="00A7017D">
      <w:pPr>
        <w:numPr>
          <w:ilvl w:val="1"/>
          <w:numId w:val="7"/>
        </w:numPr>
        <w:spacing w:line="480" w:lineRule="auto"/>
        <w:jc w:val="both"/>
      </w:pPr>
      <w:r>
        <w:t xml:space="preserve">Tintura de cabelo com PPD - usar semipermanentes </w:t>
      </w:r>
    </w:p>
    <w:p w:rsidR="00A7017D" w:rsidRDefault="00A7017D" w:rsidP="00A7017D">
      <w:pPr>
        <w:numPr>
          <w:ilvl w:val="1"/>
          <w:numId w:val="7"/>
        </w:numPr>
        <w:spacing w:line="480" w:lineRule="auto"/>
        <w:jc w:val="both"/>
      </w:pPr>
      <w:r>
        <w:t>Sapatos de borracha - usar sapatos de plásticos ou de couro</w:t>
      </w:r>
    </w:p>
    <w:p w:rsidR="00A7017D" w:rsidRDefault="00A7017D" w:rsidP="00A7017D">
      <w:pPr>
        <w:numPr>
          <w:ilvl w:val="1"/>
          <w:numId w:val="7"/>
        </w:numPr>
        <w:spacing w:line="480" w:lineRule="auto"/>
        <w:jc w:val="both"/>
      </w:pPr>
      <w:r>
        <w:t>Sapatos de couro tingido com cromato -usar plástico ou tingido com tinta vegetal</w:t>
      </w:r>
    </w:p>
    <w:p w:rsidR="00A7017D" w:rsidRDefault="00A7017D" w:rsidP="00A7017D">
      <w:pPr>
        <w:numPr>
          <w:ilvl w:val="1"/>
          <w:numId w:val="7"/>
        </w:numPr>
        <w:spacing w:line="480" w:lineRule="auto"/>
        <w:jc w:val="both"/>
      </w:pPr>
      <w:r>
        <w:t>Cobalto e níquel - usar outros metais (ouro, prata, platina) ou plástico, ou madeira, ou aço inoxidável, ou recobrir com esmalte</w:t>
      </w:r>
    </w:p>
    <w:p w:rsidR="00A7017D" w:rsidRDefault="00A7017D" w:rsidP="00A7017D">
      <w:pPr>
        <w:numPr>
          <w:ilvl w:val="1"/>
          <w:numId w:val="7"/>
        </w:numPr>
        <w:spacing w:line="480" w:lineRule="auto"/>
        <w:jc w:val="both"/>
      </w:pPr>
      <w:r>
        <w:t>Benzocaína - usar lidocaína, bupivacaína, prilocaína</w:t>
      </w:r>
    </w:p>
    <w:p w:rsidR="00A7017D" w:rsidRDefault="00A7017D" w:rsidP="00A7017D">
      <w:pPr>
        <w:numPr>
          <w:ilvl w:val="1"/>
          <w:numId w:val="7"/>
        </w:numPr>
        <w:spacing w:line="480" w:lineRule="auto"/>
        <w:jc w:val="both"/>
      </w:pPr>
      <w:r>
        <w:t>Neomicina - usar mupirocina ou fusidato de sódio</w:t>
      </w:r>
    </w:p>
    <w:p w:rsidR="00A7017D" w:rsidRDefault="00A7017D" w:rsidP="00A7017D">
      <w:pPr>
        <w:numPr>
          <w:ilvl w:val="1"/>
          <w:numId w:val="7"/>
        </w:numPr>
        <w:spacing w:line="480" w:lineRule="auto"/>
        <w:jc w:val="both"/>
      </w:pPr>
      <w:r>
        <w:t>Formaldeído e liberadores de formaldeído - usar parabenos</w:t>
      </w:r>
    </w:p>
    <w:p w:rsidR="00A7017D" w:rsidRDefault="00A7017D" w:rsidP="00A7017D">
      <w:pPr>
        <w:numPr>
          <w:ilvl w:val="1"/>
          <w:numId w:val="7"/>
        </w:numPr>
        <w:spacing w:line="480" w:lineRule="auto"/>
        <w:jc w:val="both"/>
      </w:pPr>
      <w:r>
        <w:t>Parabenos - usar formaldeído</w:t>
      </w:r>
    </w:p>
    <w:p w:rsidR="00A7017D" w:rsidRDefault="00A7017D" w:rsidP="00A7017D">
      <w:pPr>
        <w:numPr>
          <w:ilvl w:val="1"/>
          <w:numId w:val="7"/>
        </w:numPr>
        <w:spacing w:line="480" w:lineRule="auto"/>
        <w:jc w:val="both"/>
      </w:pPr>
      <w:r>
        <w:t xml:space="preserve">Resinas - usar outro tipo de resina </w:t>
      </w:r>
    </w:p>
    <w:p w:rsidR="00A7017D" w:rsidRDefault="00A7017D" w:rsidP="00A7017D">
      <w:pPr>
        <w:numPr>
          <w:ilvl w:val="1"/>
          <w:numId w:val="7"/>
        </w:numPr>
        <w:spacing w:line="480" w:lineRule="auto"/>
        <w:jc w:val="both"/>
      </w:pPr>
      <w:r>
        <w:lastRenderedPageBreak/>
        <w:t>Fragrâncias - não usar ou fazer teste aberto com o produto e enxaguar bem produtos removíveis, como sabonetes e xampus.</w:t>
      </w:r>
    </w:p>
    <w:p w:rsidR="000768D5" w:rsidRDefault="000768D5" w:rsidP="00A7017D">
      <w:pPr>
        <w:spacing w:line="480" w:lineRule="auto"/>
        <w:jc w:val="both"/>
      </w:pPr>
    </w:p>
    <w:p w:rsidR="00026B9C" w:rsidRDefault="00026B9C" w:rsidP="00A7017D">
      <w:pPr>
        <w:spacing w:line="480" w:lineRule="auto"/>
        <w:jc w:val="both"/>
      </w:pPr>
    </w:p>
    <w:p w:rsidR="00026B9C" w:rsidRDefault="00026B9C" w:rsidP="00A7017D">
      <w:pPr>
        <w:spacing w:line="480" w:lineRule="auto"/>
        <w:jc w:val="both"/>
      </w:pPr>
    </w:p>
    <w:p w:rsidR="00026B9C" w:rsidRDefault="00026B9C" w:rsidP="00A7017D">
      <w:pPr>
        <w:spacing w:line="480" w:lineRule="auto"/>
        <w:jc w:val="both"/>
      </w:pPr>
    </w:p>
    <w:p w:rsidR="00026B9C" w:rsidRDefault="00026B9C" w:rsidP="00A7017D">
      <w:pPr>
        <w:spacing w:line="480" w:lineRule="auto"/>
        <w:jc w:val="both"/>
      </w:pPr>
    </w:p>
    <w:p w:rsidR="00A7017D" w:rsidRDefault="00A7017D" w:rsidP="00A7017D">
      <w:pPr>
        <w:spacing w:line="480" w:lineRule="auto"/>
        <w:jc w:val="both"/>
        <w:rPr>
          <w:b/>
        </w:rPr>
      </w:pPr>
      <w:r>
        <w:rPr>
          <w:b/>
        </w:rPr>
        <w:t xml:space="preserve"> Tabela 7. </w:t>
      </w:r>
      <w:r w:rsidRPr="00D62325">
        <w:rPr>
          <w:b/>
        </w:rPr>
        <w:t>Reações cruzadas</w:t>
      </w:r>
      <w:r>
        <w:rPr>
          <w:rFonts w:ascii="(Usar fonte para texto asiático" w:hAnsi="(Usar fonte para texto asiático"/>
          <w:vertAlign w:val="superscript"/>
        </w:rPr>
        <w:t>6</w:t>
      </w:r>
    </w:p>
    <w:p w:rsidR="0087601C" w:rsidRDefault="0087601C" w:rsidP="0087601C">
      <w:pPr>
        <w:numPr>
          <w:ilvl w:val="0"/>
          <w:numId w:val="12"/>
        </w:numPr>
        <w:spacing w:line="480" w:lineRule="auto"/>
        <w:ind w:left="567" w:firstLine="0"/>
        <w:jc w:val="both"/>
      </w:pPr>
      <w:r>
        <w:t xml:space="preserve">  Antraquinona - parafenilenodiamina</w:t>
      </w:r>
    </w:p>
    <w:p w:rsidR="00A7017D" w:rsidRDefault="00A7017D" w:rsidP="00A7017D">
      <w:pPr>
        <w:numPr>
          <w:ilvl w:val="0"/>
          <w:numId w:val="12"/>
        </w:numPr>
        <w:spacing w:line="480" w:lineRule="auto"/>
        <w:ind w:left="567" w:firstLine="0"/>
        <w:jc w:val="both"/>
      </w:pPr>
      <w:r>
        <w:t xml:space="preserve"> Bálsamo do Peru - colofônio, bálsamo de tolu, madeiras, terebintina, própolis, benjoim, ácido benzóico, ácido cinâmico, cumarínicos, eugenol, isoeugenol</w:t>
      </w:r>
    </w:p>
    <w:p w:rsidR="00A7017D" w:rsidRDefault="00A7017D" w:rsidP="00A7017D">
      <w:pPr>
        <w:numPr>
          <w:ilvl w:val="0"/>
          <w:numId w:val="12"/>
        </w:numPr>
        <w:spacing w:line="480" w:lineRule="auto"/>
        <w:ind w:left="567" w:firstLine="0"/>
        <w:jc w:val="both"/>
      </w:pPr>
      <w:r>
        <w:t xml:space="preserve"> Benzocaína - procainamidas, sulfonamidas, hidroclorotiazida, PABA, corantes (azocorantes e anilina), parafenilenodiamina, sulfas, parabenos, ésteres em alta concentração</w:t>
      </w:r>
    </w:p>
    <w:p w:rsidR="00A7017D" w:rsidRDefault="00026B9C" w:rsidP="00026B9C">
      <w:pPr>
        <w:numPr>
          <w:ilvl w:val="0"/>
          <w:numId w:val="12"/>
        </w:numPr>
        <w:spacing w:line="480" w:lineRule="auto"/>
        <w:ind w:left="567" w:firstLine="0"/>
        <w:jc w:val="both"/>
      </w:pPr>
      <w:r>
        <w:t xml:space="preserve"> </w:t>
      </w:r>
      <w:r w:rsidR="00A7017D">
        <w:t>Carba - mix - tiuram-mix</w:t>
      </w:r>
    </w:p>
    <w:p w:rsidR="00A7017D" w:rsidRDefault="0087601C" w:rsidP="00A7017D">
      <w:pPr>
        <w:numPr>
          <w:ilvl w:val="0"/>
          <w:numId w:val="12"/>
        </w:numPr>
        <w:spacing w:line="480" w:lineRule="auto"/>
        <w:ind w:left="567" w:firstLine="0"/>
        <w:jc w:val="both"/>
      </w:pPr>
      <w:r>
        <w:t xml:space="preserve">  </w:t>
      </w:r>
      <w:r w:rsidR="00A7017D">
        <w:t>Cloreto de cobalto - vitamina B12. 80% dos indivíduos também são sensíveis ao níquel</w:t>
      </w:r>
      <w:r w:rsidR="00026B9C">
        <w:t xml:space="preserve"> </w:t>
      </w:r>
      <w:r w:rsidR="00A7017D">
        <w:t>e ao cromo</w:t>
      </w:r>
    </w:p>
    <w:p w:rsidR="00A7017D" w:rsidRDefault="00A7017D" w:rsidP="00A7017D">
      <w:pPr>
        <w:numPr>
          <w:ilvl w:val="0"/>
          <w:numId w:val="12"/>
        </w:numPr>
        <w:spacing w:line="480" w:lineRule="auto"/>
        <w:ind w:left="567" w:firstLine="0"/>
        <w:jc w:val="both"/>
      </w:pPr>
      <w:r>
        <w:t xml:space="preserve"> </w:t>
      </w:r>
      <w:r w:rsidR="0087601C">
        <w:t xml:space="preserve"> </w:t>
      </w:r>
      <w:proofErr w:type="gramStart"/>
      <w:r>
        <w:t>Etilenodiamina -difenildiamida</w:t>
      </w:r>
      <w:proofErr w:type="gramEnd"/>
      <w:r>
        <w:t xml:space="preserve"> e antihistamínicos ciproeptadina  e prometazina </w:t>
      </w:r>
    </w:p>
    <w:p w:rsidR="00A7017D" w:rsidRDefault="00A7017D" w:rsidP="00A7017D">
      <w:pPr>
        <w:numPr>
          <w:ilvl w:val="0"/>
          <w:numId w:val="12"/>
        </w:numPr>
        <w:spacing w:line="480" w:lineRule="auto"/>
        <w:ind w:left="567" w:firstLine="0"/>
        <w:jc w:val="both"/>
      </w:pPr>
      <w:r>
        <w:t xml:space="preserve"> </w:t>
      </w:r>
      <w:r w:rsidR="0087601C">
        <w:t xml:space="preserve"> </w:t>
      </w:r>
      <w:proofErr w:type="gramStart"/>
      <w:r>
        <w:t>Formaldeído -resinas</w:t>
      </w:r>
      <w:proofErr w:type="gramEnd"/>
      <w:r>
        <w:t xml:space="preserve"> liberadoras de formaldeído, quaternium 15, imidazolinidil, uréia, DMDM hitantoina, resina aril-sulfonamida</w:t>
      </w:r>
    </w:p>
    <w:p w:rsidR="00A7017D" w:rsidRDefault="00A7017D" w:rsidP="00A7017D">
      <w:pPr>
        <w:numPr>
          <w:ilvl w:val="0"/>
          <w:numId w:val="12"/>
        </w:numPr>
        <w:spacing w:line="480" w:lineRule="auto"/>
        <w:ind w:left="567" w:firstLine="0"/>
        <w:jc w:val="both"/>
      </w:pPr>
      <w:r>
        <w:t xml:space="preserve"> </w:t>
      </w:r>
      <w:r w:rsidR="0087601C">
        <w:t xml:space="preserve"> </w:t>
      </w:r>
      <w:proofErr w:type="gramStart"/>
      <w:r>
        <w:t>Lanolina -cosméticos</w:t>
      </w:r>
      <w:proofErr w:type="gramEnd"/>
      <w:r>
        <w:t xml:space="preserve"> com álcool cetil, cera lanette</w:t>
      </w:r>
    </w:p>
    <w:p w:rsidR="00A7017D" w:rsidRDefault="00A7017D" w:rsidP="00A7017D">
      <w:pPr>
        <w:numPr>
          <w:ilvl w:val="0"/>
          <w:numId w:val="12"/>
        </w:numPr>
        <w:spacing w:line="480" w:lineRule="auto"/>
        <w:ind w:left="567" w:firstLine="0"/>
        <w:jc w:val="both"/>
      </w:pPr>
      <w:r>
        <w:t xml:space="preserve"> </w:t>
      </w:r>
      <w:r w:rsidR="0087601C">
        <w:t xml:space="preserve"> </w:t>
      </w:r>
      <w:proofErr w:type="gramStart"/>
      <w:r>
        <w:t>Neomicina -gentamicina</w:t>
      </w:r>
      <w:proofErr w:type="gramEnd"/>
      <w:r>
        <w:t>, canamicina, estreptomicina, espectinomicina, tobramicina, paromomicina, butirozim, bacitracina, amicacina, outros aminoglicosídios</w:t>
      </w:r>
    </w:p>
    <w:p w:rsidR="00A7017D" w:rsidRDefault="00A7017D" w:rsidP="00A7017D">
      <w:pPr>
        <w:numPr>
          <w:ilvl w:val="0"/>
          <w:numId w:val="12"/>
        </w:numPr>
        <w:spacing w:line="480" w:lineRule="auto"/>
        <w:ind w:left="567" w:firstLine="0"/>
        <w:jc w:val="both"/>
      </w:pPr>
      <w:r>
        <w:lastRenderedPageBreak/>
        <w:t xml:space="preserve"> </w:t>
      </w:r>
      <w:r w:rsidR="0087601C">
        <w:t xml:space="preserve"> </w:t>
      </w:r>
      <w:proofErr w:type="gramStart"/>
      <w:r>
        <w:t>Parafenilenodiamina -sulfas</w:t>
      </w:r>
      <w:proofErr w:type="gramEnd"/>
      <w:r>
        <w:t>, sulfonil uréia (medicamentos antidiabéticos), benzocaína, fotoprotetores à base de PABA, paratoluenodiamina, procaína, parabenos, borracha preta</w:t>
      </w:r>
    </w:p>
    <w:p w:rsidR="00A7017D" w:rsidRDefault="00A7017D" w:rsidP="00A7017D">
      <w:pPr>
        <w:numPr>
          <w:ilvl w:val="0"/>
          <w:numId w:val="12"/>
        </w:numPr>
        <w:spacing w:line="480" w:lineRule="auto"/>
        <w:ind w:left="567" w:firstLine="0"/>
        <w:jc w:val="both"/>
      </w:pPr>
      <w:r>
        <w:t xml:space="preserve"> </w:t>
      </w:r>
      <w:r w:rsidR="0087601C">
        <w:t xml:space="preserve"> </w:t>
      </w:r>
      <w:r>
        <w:t>Prometazina - etilenodiamina, compostos do grupo para, fenotiazinas, clorpromazinas</w:t>
      </w:r>
    </w:p>
    <w:p w:rsidR="00A7017D" w:rsidRDefault="00A7017D" w:rsidP="00A7017D">
      <w:pPr>
        <w:numPr>
          <w:ilvl w:val="0"/>
          <w:numId w:val="12"/>
        </w:numPr>
        <w:spacing w:line="480" w:lineRule="auto"/>
        <w:ind w:left="567" w:firstLine="0"/>
        <w:jc w:val="both"/>
      </w:pPr>
      <w:r>
        <w:t xml:space="preserve"> </w:t>
      </w:r>
      <w:r w:rsidR="0087601C">
        <w:t xml:space="preserve"> </w:t>
      </w:r>
      <w:r>
        <w:t xml:space="preserve">Quaternium 15 </w:t>
      </w:r>
      <w:proofErr w:type="gramStart"/>
      <w:r>
        <w:t>-formaldeído</w:t>
      </w:r>
      <w:proofErr w:type="gramEnd"/>
    </w:p>
    <w:p w:rsidR="00A7017D" w:rsidRDefault="00A7017D" w:rsidP="00A7017D">
      <w:pPr>
        <w:numPr>
          <w:ilvl w:val="0"/>
          <w:numId w:val="12"/>
        </w:numPr>
        <w:spacing w:line="480" w:lineRule="auto"/>
        <w:ind w:left="567" w:firstLine="0"/>
        <w:jc w:val="both"/>
      </w:pPr>
      <w:r>
        <w:t xml:space="preserve"> </w:t>
      </w:r>
      <w:r w:rsidR="0087601C">
        <w:t xml:space="preserve"> </w:t>
      </w:r>
      <w:r>
        <w:t>Terebintina - crisântemo, colofônio, bálsamo de pinho</w:t>
      </w:r>
    </w:p>
    <w:p w:rsidR="00A7017D" w:rsidRPr="00C71E01" w:rsidRDefault="00A7017D" w:rsidP="00A7017D">
      <w:pPr>
        <w:numPr>
          <w:ilvl w:val="0"/>
          <w:numId w:val="12"/>
        </w:numPr>
        <w:spacing w:line="480" w:lineRule="auto"/>
        <w:ind w:left="567" w:firstLine="0"/>
        <w:jc w:val="both"/>
      </w:pPr>
      <w:r>
        <w:t xml:space="preserve"> </w:t>
      </w:r>
      <w:r w:rsidR="0087601C">
        <w:t xml:space="preserve"> </w:t>
      </w:r>
      <w:r>
        <w:t xml:space="preserve">Timerosol - piroxicam </w:t>
      </w:r>
    </w:p>
    <w:p w:rsidR="00A7017D" w:rsidRDefault="00A7017D" w:rsidP="00A7017D">
      <w:pPr>
        <w:spacing w:line="480" w:lineRule="auto"/>
        <w:ind w:left="567"/>
      </w:pPr>
    </w:p>
    <w:p w:rsidR="00A7017D" w:rsidRDefault="00A7017D" w:rsidP="00A7017D">
      <w:pPr>
        <w:spacing w:line="480" w:lineRule="auto"/>
      </w:pPr>
    </w:p>
    <w:p w:rsidR="00A7017D" w:rsidRDefault="00A7017D" w:rsidP="00DF0550">
      <w:pPr>
        <w:pStyle w:val="Textoindependiente"/>
        <w:spacing w:line="480" w:lineRule="auto"/>
        <w:ind w:firstLine="567"/>
        <w:rPr>
          <w:sz w:val="24"/>
        </w:rPr>
      </w:pPr>
      <w:r>
        <w:rPr>
          <w:sz w:val="24"/>
        </w:rPr>
        <w:tab/>
        <w:t xml:space="preserve">Testes de contato com pivalato de tixocortol, budesonida e 17 butirato de hidrocortisona parecem detectar a maioria dos casos de alergia a corticosteróides. Falsos-negativos podem ocorrer se uma concentração alta do produto for utilizada e se não for feito uma leitura tardia (sétimo dia) pelo próprio efeito anti-inflamatório do medicamento. Os corticosteróides foram divididos em </w:t>
      </w:r>
      <w:proofErr w:type="gramStart"/>
      <w:r>
        <w:rPr>
          <w:sz w:val="24"/>
        </w:rPr>
        <w:t>4</w:t>
      </w:r>
      <w:proofErr w:type="gramEnd"/>
      <w:r>
        <w:rPr>
          <w:sz w:val="24"/>
        </w:rPr>
        <w:t xml:space="preserve"> grupos dentro dos quais reações cruzadas podem ocorrer. A metabolização do medicamento na pele pode levar a reações cruzadas entre as classes.</w:t>
      </w:r>
    </w:p>
    <w:p w:rsidR="00A7017D" w:rsidRDefault="00A7017D" w:rsidP="00DF0550">
      <w:pPr>
        <w:spacing w:line="480" w:lineRule="auto"/>
      </w:pPr>
    </w:p>
    <w:p w:rsidR="00A7017D" w:rsidRPr="0036526C" w:rsidRDefault="002D02D9" w:rsidP="00DF0550">
      <w:pPr>
        <w:spacing w:line="480" w:lineRule="auto"/>
        <w:ind w:firstLine="567"/>
      </w:pPr>
      <w:r>
        <w:t xml:space="preserve">2. </w:t>
      </w:r>
      <w:r w:rsidR="00A7017D">
        <w:t>TESTE PROVOCATIVO DE USO (</w:t>
      </w:r>
      <w:r w:rsidR="00A7017D">
        <w:rPr>
          <w:i/>
        </w:rPr>
        <w:t xml:space="preserve">Use Test) </w:t>
      </w:r>
      <w:r w:rsidR="00A7017D">
        <w:t xml:space="preserve">OU TESTE ABERTO INTERATIVO </w:t>
      </w:r>
      <w:proofErr w:type="gramStart"/>
      <w:r w:rsidR="00A7017D">
        <w:t>ouROAT</w:t>
      </w:r>
      <w:proofErr w:type="gramEnd"/>
      <w:r w:rsidR="00A7017D">
        <w:t xml:space="preserve">  ( </w:t>
      </w:r>
      <w:r w:rsidR="00A7017D">
        <w:rPr>
          <w:i/>
        </w:rPr>
        <w:t>Repeated Open Application Test</w:t>
      </w:r>
      <w:r w:rsidR="00A7017D">
        <w:t>).</w:t>
      </w:r>
    </w:p>
    <w:p w:rsidR="00A7017D" w:rsidRDefault="00A7017D" w:rsidP="00DF0550">
      <w:pPr>
        <w:spacing w:line="480" w:lineRule="auto"/>
        <w:ind w:firstLine="567"/>
      </w:pPr>
      <w:r>
        <w:t>Aplica-se o produto duas vezes por dia por sete dias no antebraço próximo à prega anticubital. A presença de reação confirma que a DCA é causada pelo produto (usado para cosméticos e medicamentos tópicos)</w:t>
      </w:r>
    </w:p>
    <w:p w:rsidR="00A7017D" w:rsidRDefault="00A7017D" w:rsidP="00A7017D">
      <w:pPr>
        <w:spacing w:line="480" w:lineRule="auto"/>
        <w:ind w:firstLine="567"/>
        <w:jc w:val="both"/>
      </w:pPr>
    </w:p>
    <w:p w:rsidR="00A7017D" w:rsidRDefault="00A7017D" w:rsidP="00A7017D">
      <w:pPr>
        <w:tabs>
          <w:tab w:val="left" w:pos="851"/>
        </w:tabs>
        <w:spacing w:line="480" w:lineRule="auto"/>
        <w:ind w:firstLine="567"/>
        <w:jc w:val="both"/>
        <w:rPr>
          <w:i/>
        </w:rPr>
      </w:pPr>
      <w:r>
        <w:t xml:space="preserve"> 3. </w:t>
      </w:r>
      <w:r w:rsidR="00B65EE1">
        <w:t xml:space="preserve"> </w:t>
      </w:r>
      <w:r>
        <w:t>TESTE ABERTO</w:t>
      </w:r>
      <w:r>
        <w:rPr>
          <w:i/>
        </w:rPr>
        <w:t xml:space="preserve"> (Open Test)</w:t>
      </w:r>
    </w:p>
    <w:p w:rsidR="00A7017D" w:rsidRDefault="00A7017D" w:rsidP="00A7017D">
      <w:pPr>
        <w:spacing w:line="480" w:lineRule="auto"/>
        <w:ind w:firstLine="567"/>
        <w:jc w:val="both"/>
        <w:rPr>
          <w:iCs/>
        </w:rPr>
      </w:pPr>
      <w:r>
        <w:rPr>
          <w:iCs/>
        </w:rPr>
        <w:lastRenderedPageBreak/>
        <w:t>Utiliza-se para produtos irritantes no TC (fechado). Aplica-se o produto por dois dias em pele normal (Ex: região retroauricular).</w:t>
      </w:r>
    </w:p>
    <w:p w:rsidR="00A7017D" w:rsidRDefault="00A7017D" w:rsidP="00A7017D">
      <w:pPr>
        <w:spacing w:line="480" w:lineRule="auto"/>
        <w:ind w:firstLine="567"/>
        <w:jc w:val="both"/>
        <w:rPr>
          <w:iCs/>
        </w:rPr>
      </w:pPr>
    </w:p>
    <w:p w:rsidR="00A7017D" w:rsidRDefault="00A7017D" w:rsidP="00A7017D">
      <w:pPr>
        <w:tabs>
          <w:tab w:val="left" w:pos="851"/>
        </w:tabs>
        <w:spacing w:line="480" w:lineRule="auto"/>
        <w:ind w:firstLine="567"/>
        <w:jc w:val="both"/>
        <w:rPr>
          <w:iCs/>
        </w:rPr>
      </w:pPr>
      <w:r>
        <w:t xml:space="preserve"> 4.  FOTOTESTE DE CONTATO (</w:t>
      </w:r>
      <w:r>
        <w:rPr>
          <w:i/>
        </w:rPr>
        <w:t xml:space="preserve">Fotopatch Test) </w:t>
      </w:r>
    </w:p>
    <w:p w:rsidR="00A7017D" w:rsidRDefault="00A7017D" w:rsidP="00A7017D">
      <w:pPr>
        <w:spacing w:line="480" w:lineRule="auto"/>
        <w:ind w:firstLine="567"/>
        <w:jc w:val="both"/>
        <w:rPr>
          <w:iCs/>
        </w:rPr>
      </w:pPr>
      <w:r>
        <w:rPr>
          <w:iCs/>
        </w:rPr>
        <w:t xml:space="preserve">É usado quando </w:t>
      </w:r>
      <w:proofErr w:type="gramStart"/>
      <w:r>
        <w:rPr>
          <w:iCs/>
        </w:rPr>
        <w:t>suspeita-se</w:t>
      </w:r>
      <w:proofErr w:type="gramEnd"/>
      <w:r>
        <w:rPr>
          <w:iCs/>
        </w:rPr>
        <w:t xml:space="preserve"> que há fotosensibilização. Usa-se a mesma técnica do TC, porém coloca-se as substâncias em duplicata em ambos os ladosdo dorso. Após a primeira leitura de 48 horas cobre-se um dos lados e irradia-secom ultravioleta apenaso outro lado. Lê-se novamente após48 horas e compara-se o resultado dos dois lados. Quando a substância é fotosensibilizante o teste só é positivo no lado irradiado (quando é </w:t>
      </w:r>
      <w:proofErr w:type="gramStart"/>
      <w:r>
        <w:rPr>
          <w:iCs/>
        </w:rPr>
        <w:t>positivo nos dois lados</w:t>
      </w:r>
      <w:proofErr w:type="gramEnd"/>
      <w:r>
        <w:rPr>
          <w:iCs/>
        </w:rPr>
        <w:t xml:space="preserve"> a substância não é fotossensibilizante).</w:t>
      </w:r>
    </w:p>
    <w:p w:rsidR="00A7017D" w:rsidRDefault="00A7017D" w:rsidP="00A7017D">
      <w:pPr>
        <w:spacing w:line="480" w:lineRule="auto"/>
        <w:jc w:val="both"/>
      </w:pPr>
    </w:p>
    <w:p w:rsidR="00A7017D" w:rsidRPr="00C71E01" w:rsidRDefault="00A7017D" w:rsidP="00A7017D">
      <w:pPr>
        <w:spacing w:line="480" w:lineRule="auto"/>
        <w:jc w:val="both"/>
        <w:rPr>
          <w:b/>
          <w:sz w:val="32"/>
          <w:szCs w:val="32"/>
        </w:rPr>
      </w:pPr>
      <w:r w:rsidRPr="00C71E01">
        <w:rPr>
          <w:b/>
          <w:sz w:val="32"/>
          <w:szCs w:val="32"/>
        </w:rPr>
        <w:t>TRATAMENTO</w:t>
      </w:r>
    </w:p>
    <w:p w:rsidR="00A7017D" w:rsidRPr="00C71E01" w:rsidRDefault="00A7017D" w:rsidP="00DF0550">
      <w:pPr>
        <w:spacing w:line="480" w:lineRule="auto"/>
        <w:rPr>
          <w:b/>
          <w:sz w:val="28"/>
          <w:szCs w:val="28"/>
        </w:rPr>
      </w:pPr>
      <w:r w:rsidRPr="00C71E01">
        <w:rPr>
          <w:b/>
          <w:sz w:val="28"/>
          <w:szCs w:val="28"/>
        </w:rPr>
        <w:t>MEDI</w:t>
      </w:r>
      <w:r>
        <w:rPr>
          <w:b/>
          <w:sz w:val="28"/>
          <w:szCs w:val="28"/>
        </w:rPr>
        <w:t>D</w:t>
      </w:r>
      <w:r w:rsidRPr="00C71E01">
        <w:rPr>
          <w:b/>
          <w:sz w:val="28"/>
          <w:szCs w:val="28"/>
        </w:rPr>
        <w:t>AS GERAIS</w:t>
      </w:r>
    </w:p>
    <w:p w:rsidR="00A7017D" w:rsidRDefault="00A7017D" w:rsidP="00DF0550">
      <w:pPr>
        <w:spacing w:line="480" w:lineRule="auto"/>
        <w:ind w:firstLine="567"/>
      </w:pPr>
      <w:r>
        <w:rPr>
          <w:b/>
        </w:rPr>
        <w:tab/>
      </w:r>
      <w:r>
        <w:t xml:space="preserve">A orientação mais importante é o afastamento da substância causadora da </w:t>
      </w:r>
      <w:proofErr w:type="gramStart"/>
      <w:r>
        <w:t>DC.</w:t>
      </w:r>
      <w:proofErr w:type="gramEnd"/>
      <w:r>
        <w:rPr>
          <w:rFonts w:ascii="(Usar fonte para texto asiático" w:hAnsi="(Usar fonte para texto asiático"/>
          <w:vertAlign w:val="superscript"/>
        </w:rPr>
        <w:t xml:space="preserve">1, 4    </w:t>
      </w:r>
      <w:r w:rsidRPr="004D4F91">
        <w:t>Para a DCI</w:t>
      </w:r>
      <w:r>
        <w:t xml:space="preserve"> o uso de EPI pode ser útil.</w:t>
      </w:r>
    </w:p>
    <w:p w:rsidR="00A7017D" w:rsidRPr="004D4F91" w:rsidRDefault="00A7017D" w:rsidP="00DF0550">
      <w:pPr>
        <w:spacing w:line="480" w:lineRule="auto"/>
        <w:ind w:firstLine="1440"/>
        <w:rPr>
          <w:vertAlign w:val="superscript"/>
        </w:rPr>
      </w:pPr>
    </w:p>
    <w:p w:rsidR="00A7017D" w:rsidRPr="00C71E01" w:rsidRDefault="00A7017D" w:rsidP="00DF0550">
      <w:pPr>
        <w:spacing w:line="480" w:lineRule="auto"/>
        <w:rPr>
          <w:b/>
          <w:sz w:val="28"/>
          <w:szCs w:val="28"/>
        </w:rPr>
      </w:pPr>
      <w:r w:rsidRPr="00C71E01">
        <w:rPr>
          <w:b/>
          <w:sz w:val="28"/>
          <w:szCs w:val="28"/>
        </w:rPr>
        <w:t>TRATAMENTO MEDICAMENTOSO</w:t>
      </w:r>
    </w:p>
    <w:p w:rsidR="00A7017D" w:rsidRDefault="00A7017D" w:rsidP="00DF0550">
      <w:pPr>
        <w:spacing w:line="480" w:lineRule="auto"/>
        <w:ind w:firstLine="567"/>
      </w:pPr>
      <w:r>
        <w:t>O tratamento tópico é feito conforme a fase evolutiva. Na fase aguda utilizam-se líquidos antissépticos brandos em compressas, para a subaguda</w:t>
      </w:r>
      <w:proofErr w:type="gramStart"/>
      <w:r w:rsidR="006A0904">
        <w:t xml:space="preserve"> </w:t>
      </w:r>
      <w:r>
        <w:t xml:space="preserve"> </w:t>
      </w:r>
      <w:proofErr w:type="gramEnd"/>
      <w:r>
        <w:t>líquidos e cremes e para a crônica cremes e pomadas. Aos cremes e pomadas adicionam-se corticosteróides. Recentemente os imunossupressores macrolídeos (pimecrolimus e tacrolimus) têm sido úteis na substituição do corticosteróides em áreas de pele fina como faceou intertriginosas.</w:t>
      </w:r>
    </w:p>
    <w:p w:rsidR="00A7017D" w:rsidRDefault="00A7017D" w:rsidP="00DF0550">
      <w:pPr>
        <w:spacing w:line="480" w:lineRule="auto"/>
        <w:ind w:firstLine="567"/>
      </w:pPr>
      <w:r>
        <w:lastRenderedPageBreak/>
        <w:t>O tratamento sistêmico é feito com corticosteróides eestão indicados em casos de acometimento severo, envolvendo mais de 20% da superfície corporal, formação de bolhas ou comprometimento facial importante.</w:t>
      </w:r>
      <w:r>
        <w:rPr>
          <w:rFonts w:ascii="(Usar fonte para texto asiático" w:hAnsi="(Usar fonte para texto asiático"/>
          <w:vertAlign w:val="superscript"/>
        </w:rPr>
        <w:t>22</w:t>
      </w:r>
    </w:p>
    <w:p w:rsidR="00A7017D" w:rsidRDefault="00A7017D" w:rsidP="00DF0550">
      <w:pPr>
        <w:spacing w:line="480" w:lineRule="auto"/>
        <w:ind w:firstLine="567"/>
      </w:pPr>
      <w:r>
        <w:t>Se houver infecção secundária antibióticos</w:t>
      </w:r>
      <w:proofErr w:type="gramStart"/>
      <w:r>
        <w:t xml:space="preserve"> </w:t>
      </w:r>
      <w:r w:rsidR="006A0904">
        <w:t xml:space="preserve"> </w:t>
      </w:r>
      <w:proofErr w:type="gramEnd"/>
      <w:r>
        <w:t>sistêmicos devem ser utilizados.</w:t>
      </w:r>
    </w:p>
    <w:p w:rsidR="00A7017D" w:rsidRDefault="00A7017D" w:rsidP="00DF0550">
      <w:pPr>
        <w:spacing w:line="480" w:lineRule="auto"/>
        <w:ind w:firstLine="567"/>
      </w:pPr>
      <w:r>
        <w:t>Antihistamínicossedativos podem ser indicados para aliviar o prurido.</w:t>
      </w:r>
      <w:r>
        <w:rPr>
          <w:rFonts w:ascii="(Usar fonte para texto asiático" w:hAnsi="(Usar fonte para texto asiático"/>
          <w:vertAlign w:val="superscript"/>
        </w:rPr>
        <w:t>4</w:t>
      </w:r>
    </w:p>
    <w:p w:rsidR="00A7017D" w:rsidRDefault="00A7017D" w:rsidP="00DF0550">
      <w:pPr>
        <w:spacing w:line="480" w:lineRule="auto"/>
        <w:ind w:firstLine="567"/>
        <w:rPr>
          <w:rFonts w:ascii="Arial" w:hAnsi="Arial" w:cs="Arial"/>
        </w:rPr>
      </w:pPr>
      <w:r>
        <w:t>Outros tratamentos eventualmente utilizados são: fototerapia (PUVA ou UVB – banda estreita),imunossupressores sistêmicos como azatioprina,  ciclosporina e metotrexate.</w:t>
      </w:r>
      <w:r>
        <w:rPr>
          <w:rFonts w:ascii="(Usar fonte para texto asiático" w:hAnsi="(Usar fonte para texto asiático"/>
          <w:vertAlign w:val="superscript"/>
        </w:rPr>
        <w:t>1</w:t>
      </w:r>
    </w:p>
    <w:p w:rsidR="00A7017D" w:rsidRDefault="00A7017D" w:rsidP="00DF0550">
      <w:pPr>
        <w:spacing w:line="480" w:lineRule="auto"/>
        <w:ind w:firstLine="567"/>
        <w:rPr>
          <w:rFonts w:ascii="(Usar fonte para texto asiático" w:hAnsi="(Usar fonte para texto asiático"/>
          <w:vertAlign w:val="superscript"/>
        </w:rPr>
      </w:pPr>
      <w:r w:rsidRPr="00B9632B">
        <w:rPr>
          <w:color w:val="000000"/>
        </w:rPr>
        <w:t xml:space="preserve">Para as dermatites </w:t>
      </w:r>
      <w:r>
        <w:rPr>
          <w:color w:val="000000"/>
        </w:rPr>
        <w:t xml:space="preserve">crônicas </w:t>
      </w:r>
      <w:r w:rsidRPr="00B9632B">
        <w:rPr>
          <w:color w:val="000000"/>
        </w:rPr>
        <w:t>de mãos</w:t>
      </w:r>
      <w:r>
        <w:rPr>
          <w:color w:val="000000"/>
        </w:rPr>
        <w:t>,</w:t>
      </w:r>
      <w:r w:rsidR="006A0904">
        <w:rPr>
          <w:color w:val="000000"/>
        </w:rPr>
        <w:t xml:space="preserve"> </w:t>
      </w:r>
      <w:r>
        <w:rPr>
          <w:color w:val="000000"/>
        </w:rPr>
        <w:t xml:space="preserve">de difícil controle, pode-se utilizar o retinóico </w:t>
      </w:r>
      <w:proofErr w:type="gramStart"/>
      <w:r>
        <w:rPr>
          <w:color w:val="000000"/>
        </w:rPr>
        <w:t>alitretinoína.</w:t>
      </w:r>
      <w:proofErr w:type="gramEnd"/>
      <w:r>
        <w:rPr>
          <w:rFonts w:ascii="(Usar fonte para texto asiático" w:hAnsi="(Usar fonte para texto asiático"/>
          <w:vertAlign w:val="superscript"/>
        </w:rPr>
        <w:t>23,24,25</w:t>
      </w:r>
    </w:p>
    <w:p w:rsidR="00A7017D" w:rsidRDefault="00A7017D" w:rsidP="00DF0550">
      <w:pPr>
        <w:spacing w:line="480" w:lineRule="auto"/>
        <w:ind w:firstLine="567"/>
        <w:rPr>
          <w:color w:val="000000"/>
        </w:rPr>
      </w:pPr>
    </w:p>
    <w:p w:rsidR="00A7017D" w:rsidRPr="00467C56" w:rsidRDefault="00A7017D" w:rsidP="00DF0550">
      <w:pPr>
        <w:spacing w:line="480" w:lineRule="auto"/>
        <w:rPr>
          <w:b/>
          <w:sz w:val="32"/>
          <w:szCs w:val="32"/>
        </w:rPr>
      </w:pPr>
      <w:r w:rsidRPr="00467C56">
        <w:rPr>
          <w:b/>
          <w:sz w:val="32"/>
          <w:szCs w:val="32"/>
        </w:rPr>
        <w:t>PROGNÓSTICO</w:t>
      </w:r>
    </w:p>
    <w:p w:rsidR="00A7017D" w:rsidRDefault="00A7017D" w:rsidP="00DF0550">
      <w:pPr>
        <w:spacing w:line="480" w:lineRule="auto"/>
        <w:ind w:firstLine="567"/>
      </w:pPr>
      <w:r>
        <w:rPr>
          <w:b/>
        </w:rPr>
        <w:tab/>
      </w:r>
      <w:r>
        <w:t xml:space="preserve">A DCA tem um prognóstico pior que a DCI, mesmo que o alergeno seja identificado e evitado. A cronicidade do quadro é mais comum nos indivíduos alérgicos ao níquel e </w:t>
      </w:r>
      <w:proofErr w:type="gramStart"/>
      <w:r>
        <w:t>cromo.</w:t>
      </w:r>
      <w:proofErr w:type="gramEnd"/>
      <w:r>
        <w:rPr>
          <w:rFonts w:ascii="(Usar fonte para texto asiático" w:hAnsi="(Usar fonte para texto asiático"/>
          <w:vertAlign w:val="superscript"/>
        </w:rPr>
        <w:t>2</w:t>
      </w:r>
    </w:p>
    <w:p w:rsidR="00A7017D" w:rsidRDefault="00A7017D" w:rsidP="00DF0550">
      <w:pPr>
        <w:spacing w:line="480" w:lineRule="auto"/>
      </w:pPr>
      <w:r>
        <w:tab/>
        <w:t>O prognóstico das DCocupacionais é geralmente muito ruim.</w:t>
      </w:r>
    </w:p>
    <w:p w:rsidR="00A7017D" w:rsidRDefault="00A7017D" w:rsidP="00DF0550">
      <w:pPr>
        <w:spacing w:line="480" w:lineRule="auto"/>
      </w:pPr>
    </w:p>
    <w:p w:rsidR="00A7017D" w:rsidRPr="00467C56" w:rsidRDefault="00A7017D" w:rsidP="00DF0550">
      <w:pPr>
        <w:spacing w:line="480" w:lineRule="auto"/>
        <w:rPr>
          <w:b/>
          <w:sz w:val="32"/>
          <w:szCs w:val="32"/>
        </w:rPr>
      </w:pPr>
      <w:r w:rsidRPr="00467C56">
        <w:rPr>
          <w:b/>
          <w:sz w:val="32"/>
          <w:szCs w:val="32"/>
        </w:rPr>
        <w:t>PREVENÇÃO</w:t>
      </w:r>
    </w:p>
    <w:p w:rsidR="00A7017D" w:rsidRDefault="00A7017D" w:rsidP="00DF0550">
      <w:pPr>
        <w:spacing w:line="480" w:lineRule="auto"/>
        <w:ind w:firstLine="567"/>
      </w:pPr>
      <w:r>
        <w:t>A orientação mais importante na prevenção da DC é o afastamento da substância causadora.</w:t>
      </w:r>
    </w:p>
    <w:p w:rsidR="00A7017D" w:rsidRDefault="00A7017D" w:rsidP="00DF0550">
      <w:pPr>
        <w:pStyle w:val="Textoindependiente"/>
        <w:spacing w:line="480" w:lineRule="auto"/>
        <w:ind w:firstLine="567"/>
        <w:rPr>
          <w:sz w:val="24"/>
        </w:rPr>
      </w:pPr>
      <w:r>
        <w:rPr>
          <w:sz w:val="24"/>
        </w:rPr>
        <w:t xml:space="preserve">Em relação à DC ocupacional podemos enfatizar como cuidados pessoais o uso de EPI adequados, roupas especiais e conscientização da higiene </w:t>
      </w:r>
      <w:proofErr w:type="gramStart"/>
      <w:r>
        <w:rPr>
          <w:sz w:val="24"/>
        </w:rPr>
        <w:t>pessoal.</w:t>
      </w:r>
      <w:proofErr w:type="gramEnd"/>
      <w:r>
        <w:rPr>
          <w:sz w:val="24"/>
          <w:vertAlign w:val="superscript"/>
        </w:rPr>
        <w:t>2</w:t>
      </w:r>
    </w:p>
    <w:p w:rsidR="00A7017D" w:rsidRDefault="00A7017D" w:rsidP="00A7017D">
      <w:pPr>
        <w:pStyle w:val="Textoindependiente"/>
        <w:spacing w:line="480" w:lineRule="auto"/>
        <w:jc w:val="both"/>
        <w:rPr>
          <w:sz w:val="24"/>
        </w:rPr>
      </w:pPr>
    </w:p>
    <w:p w:rsidR="00A7017D" w:rsidRPr="00467C56" w:rsidRDefault="00A7017D" w:rsidP="00A7017D">
      <w:pPr>
        <w:spacing w:line="480" w:lineRule="auto"/>
        <w:jc w:val="both"/>
        <w:rPr>
          <w:b/>
          <w:sz w:val="32"/>
          <w:szCs w:val="32"/>
          <w:lang w:val="en-US"/>
        </w:rPr>
      </w:pPr>
      <w:r w:rsidRPr="00467C56">
        <w:rPr>
          <w:b/>
          <w:sz w:val="32"/>
          <w:szCs w:val="32"/>
          <w:lang w:val="en-US"/>
        </w:rPr>
        <w:t>REFER</w:t>
      </w:r>
      <w:r>
        <w:rPr>
          <w:b/>
          <w:sz w:val="32"/>
          <w:szCs w:val="32"/>
          <w:lang w:val="en-US"/>
        </w:rPr>
        <w:t xml:space="preserve">ÊNCIAS </w:t>
      </w:r>
    </w:p>
    <w:p w:rsidR="00A7017D" w:rsidRDefault="00A7017D" w:rsidP="00A7017D">
      <w:pPr>
        <w:rPr>
          <w:lang w:val="en-US"/>
        </w:rPr>
      </w:pPr>
      <w:r>
        <w:rPr>
          <w:lang w:val="en-US"/>
        </w:rPr>
        <w:lastRenderedPageBreak/>
        <w:t>1. Cohen, D.E., Heidary, N. Treatment of irritant and allergic contact dermatitis. Dermatol Ther. 2004; 17(4):334-340.</w:t>
      </w:r>
    </w:p>
    <w:p w:rsidR="00A7017D" w:rsidRDefault="00A7017D" w:rsidP="00A7017D">
      <w:pPr>
        <w:rPr>
          <w:b/>
          <w:lang w:val="en-US"/>
        </w:rPr>
      </w:pPr>
    </w:p>
    <w:p w:rsidR="00A7017D" w:rsidRPr="00EA209F" w:rsidRDefault="00A7017D" w:rsidP="00A7017D">
      <w:pPr>
        <w:rPr>
          <w:lang w:val="en-US"/>
        </w:rPr>
      </w:pPr>
      <w:r>
        <w:rPr>
          <w:lang w:val="en-US"/>
        </w:rPr>
        <w:t xml:space="preserve">2. Bourke, J., Coulson, I. English J. British Association of Dermatologists. </w:t>
      </w:r>
      <w:proofErr w:type="gramStart"/>
      <w:r>
        <w:rPr>
          <w:lang w:val="en-US"/>
        </w:rPr>
        <w:t>Guidelines for care of contact dermatitis.</w:t>
      </w:r>
      <w:r w:rsidRPr="00EA209F">
        <w:rPr>
          <w:lang w:val="en-US"/>
        </w:rPr>
        <w:t>Br J Dermatol.</w:t>
      </w:r>
      <w:proofErr w:type="gramEnd"/>
      <w:r w:rsidRPr="00EA209F">
        <w:rPr>
          <w:lang w:val="en-US"/>
        </w:rPr>
        <w:t xml:space="preserve"> 2001; 145(6):877-885. </w:t>
      </w:r>
    </w:p>
    <w:p w:rsidR="00A7017D" w:rsidRPr="00EA209F" w:rsidRDefault="00A7017D" w:rsidP="00A7017D">
      <w:pPr>
        <w:rPr>
          <w:lang w:val="en-US"/>
        </w:rPr>
      </w:pPr>
    </w:p>
    <w:p w:rsidR="00A7017D" w:rsidRPr="00723068" w:rsidRDefault="00A7017D" w:rsidP="00A7017D">
      <w:pPr>
        <w:pStyle w:val="Sangradetextonormal"/>
        <w:ind w:left="0"/>
        <w:jc w:val="both"/>
        <w:rPr>
          <w:bCs/>
          <w:lang w:val="en-US"/>
        </w:rPr>
      </w:pPr>
      <w:r w:rsidRPr="00723068">
        <w:rPr>
          <w:lang w:val="en-US"/>
        </w:rPr>
        <w:t xml:space="preserve">3. Ali, SA. </w:t>
      </w:r>
      <w:r>
        <w:t xml:space="preserve">Dermatoses Ocupacionais. 2ª Edição. </w:t>
      </w:r>
      <w:r w:rsidRPr="00EA209F">
        <w:t xml:space="preserve">São Paulo: Fundacentro. </w:t>
      </w:r>
      <w:r w:rsidRPr="00723068">
        <w:rPr>
          <w:lang w:val="en-US"/>
        </w:rPr>
        <w:t>2010</w:t>
      </w:r>
      <w:proofErr w:type="gramStart"/>
      <w:r w:rsidRPr="00723068">
        <w:rPr>
          <w:lang w:val="en-US"/>
        </w:rPr>
        <w:t>;  25</w:t>
      </w:r>
      <w:proofErr w:type="gramEnd"/>
      <w:r w:rsidRPr="00723068">
        <w:rPr>
          <w:lang w:val="en-US"/>
        </w:rPr>
        <w:t>.</w:t>
      </w:r>
    </w:p>
    <w:p w:rsidR="00A7017D" w:rsidRPr="00723068" w:rsidRDefault="00A7017D" w:rsidP="00A7017D">
      <w:pPr>
        <w:rPr>
          <w:b/>
          <w:lang w:val="en-US"/>
        </w:rPr>
      </w:pPr>
    </w:p>
    <w:p w:rsidR="00A7017D" w:rsidRPr="001A5224" w:rsidRDefault="00A7017D" w:rsidP="00A7017D">
      <w:pPr>
        <w:rPr>
          <w:lang w:val="en-US"/>
        </w:rPr>
      </w:pPr>
      <w:r w:rsidRPr="00723068">
        <w:rPr>
          <w:lang w:val="en-US"/>
        </w:rPr>
        <w:t xml:space="preserve">4.  Li, L.Y., </w:t>
      </w:r>
      <w:proofErr w:type="gramStart"/>
      <w:r w:rsidRPr="00723068">
        <w:rPr>
          <w:lang w:val="en-US"/>
        </w:rPr>
        <w:t>Cruz</w:t>
      </w:r>
      <w:proofErr w:type="gramEnd"/>
      <w:r w:rsidRPr="00723068">
        <w:rPr>
          <w:lang w:val="en-US"/>
        </w:rPr>
        <w:t xml:space="preserve">, P.D. Jr. </w:t>
      </w:r>
      <w:r w:rsidRPr="001A5224">
        <w:rPr>
          <w:lang w:val="en-US"/>
        </w:rPr>
        <w:t xml:space="preserve">Allergic contact </w:t>
      </w:r>
      <w:r>
        <w:rPr>
          <w:lang w:val="en-US"/>
        </w:rPr>
        <w:t xml:space="preserve">dermatitis: pathophysiology applied to future therapy. </w:t>
      </w:r>
      <w:r w:rsidRPr="001A5224">
        <w:rPr>
          <w:lang w:val="en-US"/>
        </w:rPr>
        <w:t>Dermatol Ther.</w:t>
      </w:r>
      <w:r>
        <w:rPr>
          <w:lang w:val="en-US"/>
        </w:rPr>
        <w:t xml:space="preserve"> 2004; 17(3):219-223.</w:t>
      </w:r>
    </w:p>
    <w:p w:rsidR="00A7017D" w:rsidRPr="001A5224" w:rsidRDefault="00A7017D" w:rsidP="00A7017D">
      <w:pPr>
        <w:rPr>
          <w:lang w:val="en-US"/>
        </w:rPr>
      </w:pPr>
    </w:p>
    <w:p w:rsidR="00A7017D" w:rsidRPr="00A341C3" w:rsidRDefault="00A7017D" w:rsidP="00A7017D">
      <w:r>
        <w:rPr>
          <w:lang w:val="en-US"/>
        </w:rPr>
        <w:t xml:space="preserve">5.  Britton, W. Hipersensitivity – Type IV. In: Roitt I, Brostoff J, Male D. </w:t>
      </w:r>
      <w:proofErr w:type="gramStart"/>
      <w:r>
        <w:rPr>
          <w:lang w:val="en-US"/>
        </w:rPr>
        <w:t xml:space="preserve">Immunology </w:t>
      </w:r>
      <w:r w:rsidRPr="00A341C3">
        <w:rPr>
          <w:lang w:val="en-US"/>
        </w:rPr>
        <w:t xml:space="preserve"> 6th</w:t>
      </w:r>
      <w:proofErr w:type="gramEnd"/>
      <w:r w:rsidRPr="00A341C3">
        <w:rPr>
          <w:lang w:val="en-US"/>
        </w:rPr>
        <w:t xml:space="preserve"> ed. </w:t>
      </w:r>
      <w:r w:rsidRPr="00A341C3">
        <w:t>Edinburgh: Mosb</w:t>
      </w:r>
      <w:r>
        <w:t>y</w:t>
      </w:r>
      <w:r w:rsidRPr="00A341C3">
        <w:t xml:space="preserve">. </w:t>
      </w:r>
      <w:r>
        <w:t xml:space="preserve">2001; </w:t>
      </w:r>
      <w:r w:rsidRPr="00A341C3">
        <w:t>371-383.</w:t>
      </w:r>
    </w:p>
    <w:p w:rsidR="00A7017D" w:rsidRDefault="00A7017D" w:rsidP="00A7017D"/>
    <w:p w:rsidR="00A7017D" w:rsidRPr="002C780D" w:rsidRDefault="00A7017D" w:rsidP="00A7017D">
      <w:r w:rsidRPr="002C780D">
        <w:t xml:space="preserve">6. Duarte, I, Della Nina, BI, Gordiano, MC, Voltarelli, P. Dermatite de Contato. In: Belda </w:t>
      </w:r>
      <w:proofErr w:type="gramStart"/>
      <w:r w:rsidRPr="002C780D">
        <w:t>Jr.</w:t>
      </w:r>
      <w:proofErr w:type="gramEnd"/>
      <w:r w:rsidRPr="002C780D">
        <w:t>W, Di Chiacchio N, Criado PR, editores. Tratado de Dermatologia. São Paulo: Atheneu</w:t>
      </w:r>
      <w:r>
        <w:t xml:space="preserve">. </w:t>
      </w:r>
      <w:proofErr w:type="gramStart"/>
      <w:r>
        <w:t>2010;</w:t>
      </w:r>
      <w:proofErr w:type="gramEnd"/>
      <w:r w:rsidRPr="002C780D">
        <w:t>173-193</w:t>
      </w:r>
      <w:r>
        <w:t>.</w:t>
      </w:r>
    </w:p>
    <w:p w:rsidR="00A7017D" w:rsidRPr="002C780D" w:rsidRDefault="00A7017D" w:rsidP="00A7017D"/>
    <w:p w:rsidR="00A7017D" w:rsidRPr="002C780D" w:rsidRDefault="00A7017D" w:rsidP="00A7017D">
      <w:pPr>
        <w:rPr>
          <w:lang w:eastAsia="en-US"/>
        </w:rPr>
      </w:pPr>
      <w:r w:rsidRPr="002C780D">
        <w:rPr>
          <w:lang w:eastAsia="en-US"/>
        </w:rPr>
        <w:t xml:space="preserve">7. Alchorne, A.O.A., Macedo, M.S. Dermatite de contato. In: Lopes AC, editor. Diagnóstico e </w:t>
      </w:r>
      <w:r>
        <w:rPr>
          <w:lang w:eastAsia="en-US"/>
        </w:rPr>
        <w:t>tratamento. São Paulo: Manole. 2006; 423-428.</w:t>
      </w:r>
    </w:p>
    <w:p w:rsidR="00A7017D" w:rsidRPr="002C780D" w:rsidRDefault="00A7017D" w:rsidP="00A7017D">
      <w:pPr>
        <w:rPr>
          <w:lang w:eastAsia="en-US"/>
        </w:rPr>
      </w:pPr>
    </w:p>
    <w:p w:rsidR="00A7017D" w:rsidRPr="002C780D" w:rsidRDefault="00A7017D" w:rsidP="00A7017D">
      <w:pPr>
        <w:rPr>
          <w:lang w:eastAsia="en-US"/>
        </w:rPr>
      </w:pPr>
      <w:r w:rsidRPr="002C780D">
        <w:rPr>
          <w:lang w:eastAsia="en-US"/>
        </w:rPr>
        <w:t>8. Martins, LEAM, Reis VMS. Imunopatologia da Dermatite de Con</w:t>
      </w:r>
      <w:r>
        <w:rPr>
          <w:lang w:eastAsia="en-US"/>
        </w:rPr>
        <w:t>tato Alérgica. An Bras Dermatol. 2011;86 (3):418-31.</w:t>
      </w:r>
    </w:p>
    <w:p w:rsidR="00A7017D" w:rsidRPr="002C780D" w:rsidRDefault="00A7017D" w:rsidP="00A7017D"/>
    <w:p w:rsidR="00A7017D" w:rsidRPr="002C780D" w:rsidRDefault="00A7017D" w:rsidP="00A7017D">
      <w:pPr>
        <w:rPr>
          <w:lang w:val="en-US"/>
        </w:rPr>
      </w:pPr>
      <w:r w:rsidRPr="002C780D">
        <w:t>9. Duarte, I</w:t>
      </w:r>
      <w:proofErr w:type="gramStart"/>
      <w:r w:rsidRPr="002C780D">
        <w:t>.,</w:t>
      </w:r>
      <w:proofErr w:type="gramEnd"/>
      <w:r w:rsidRPr="002C780D">
        <w:t xml:space="preserve"> Proença, N.G., Drullis, E. Dermatite eczematosa de mãos. Contribuição dos testes epicutâneos para seu diagnóstico</w:t>
      </w:r>
      <w:r>
        <w:t xml:space="preserve"> diferencial. </w:t>
      </w:r>
      <w:r w:rsidRPr="00EA209F">
        <w:t xml:space="preserve">AnBras Dermatol. </w:t>
      </w:r>
      <w:r>
        <w:rPr>
          <w:lang w:val="en-US"/>
        </w:rPr>
        <w:t>1990</w:t>
      </w:r>
      <w:proofErr w:type="gramStart"/>
      <w:r>
        <w:rPr>
          <w:lang w:val="en-US"/>
        </w:rPr>
        <w:t>;65</w:t>
      </w:r>
      <w:proofErr w:type="gramEnd"/>
      <w:r>
        <w:rPr>
          <w:lang w:val="en-US"/>
        </w:rPr>
        <w:t>(5):239-243.</w:t>
      </w:r>
    </w:p>
    <w:p w:rsidR="00A7017D" w:rsidRPr="002C780D" w:rsidRDefault="00A7017D" w:rsidP="00A7017D">
      <w:pPr>
        <w:rPr>
          <w:lang w:val="en-US"/>
        </w:rPr>
      </w:pPr>
    </w:p>
    <w:p w:rsidR="00A7017D" w:rsidRPr="002C780D" w:rsidRDefault="00A7017D" w:rsidP="00A7017D">
      <w:pPr>
        <w:rPr>
          <w:lang w:val="en-US"/>
        </w:rPr>
      </w:pPr>
      <w:r w:rsidRPr="002C780D">
        <w:rPr>
          <w:lang w:val="en-US"/>
        </w:rPr>
        <w:t>10. Duarte, I., Terumi Nakano, J., Lazzarini, R. Hand eczema: evaluation of 25</w:t>
      </w:r>
      <w:r>
        <w:rPr>
          <w:lang w:val="en-US"/>
        </w:rPr>
        <w:t xml:space="preserve">0 patients. </w:t>
      </w:r>
      <w:proofErr w:type="gramStart"/>
      <w:r>
        <w:rPr>
          <w:lang w:val="en-US"/>
        </w:rPr>
        <w:t>Am J Contact Dermat.</w:t>
      </w:r>
      <w:proofErr w:type="gramEnd"/>
      <w:r>
        <w:rPr>
          <w:lang w:val="en-US"/>
        </w:rPr>
        <w:t xml:space="preserve"> 1998</w:t>
      </w:r>
      <w:proofErr w:type="gramStart"/>
      <w:r>
        <w:rPr>
          <w:lang w:val="en-US"/>
        </w:rPr>
        <w:t>;  9</w:t>
      </w:r>
      <w:proofErr w:type="gramEnd"/>
      <w:r>
        <w:rPr>
          <w:lang w:val="en-US"/>
        </w:rPr>
        <w:t>(4):216-223.</w:t>
      </w:r>
    </w:p>
    <w:p w:rsidR="00A7017D" w:rsidRDefault="00A7017D" w:rsidP="00A7017D">
      <w:pPr>
        <w:rPr>
          <w:b/>
          <w:lang w:val="en-US"/>
        </w:rPr>
      </w:pPr>
    </w:p>
    <w:p w:rsidR="00A7017D" w:rsidRDefault="00A7017D" w:rsidP="00A7017D">
      <w:pPr>
        <w:rPr>
          <w:lang w:val="en-US"/>
        </w:rPr>
      </w:pPr>
      <w:r>
        <w:rPr>
          <w:lang w:val="en-US"/>
        </w:rPr>
        <w:t>11</w:t>
      </w:r>
      <w:proofErr w:type="gramStart"/>
      <w:r>
        <w:rPr>
          <w:lang w:val="en-US"/>
        </w:rPr>
        <w:t>.Upadhye</w:t>
      </w:r>
      <w:proofErr w:type="gramEnd"/>
      <w:r>
        <w:rPr>
          <w:lang w:val="en-US"/>
        </w:rPr>
        <w:t xml:space="preserve">, M.R., Maibach, H.I. Influence of area of application of allergen on sensitization in contact dermatitis. </w:t>
      </w:r>
      <w:proofErr w:type="gramStart"/>
      <w:r>
        <w:rPr>
          <w:lang w:val="en-US"/>
        </w:rPr>
        <w:t>Contact Dermatitis.</w:t>
      </w:r>
      <w:proofErr w:type="gramEnd"/>
      <w:r>
        <w:rPr>
          <w:lang w:val="en-US"/>
        </w:rPr>
        <w:t xml:space="preserve"> 1992; 27(5):281-286.</w:t>
      </w:r>
    </w:p>
    <w:p w:rsidR="00A7017D" w:rsidRDefault="00A7017D" w:rsidP="00A7017D">
      <w:pPr>
        <w:rPr>
          <w:b/>
          <w:lang w:val="en-US"/>
        </w:rPr>
      </w:pPr>
    </w:p>
    <w:p w:rsidR="00A7017D" w:rsidRDefault="00A7017D" w:rsidP="00A7017D">
      <w:r>
        <w:rPr>
          <w:lang w:val="en-US"/>
        </w:rPr>
        <w:t xml:space="preserve">12. Basketter, D.A., Evans, P., Gerberick, G.F., Kimber, I.A. Factors affecting thresholds in allergic contact dermatitis: safety and regulatory considerations. </w:t>
      </w:r>
      <w:r>
        <w:t>Contact Dermatitis. 2002;47(1):1-6.</w:t>
      </w:r>
    </w:p>
    <w:p w:rsidR="00A7017D" w:rsidRDefault="00A7017D" w:rsidP="00A7017D"/>
    <w:p w:rsidR="00A7017D" w:rsidRPr="00EA209F" w:rsidRDefault="00A7017D" w:rsidP="00A7017D">
      <w:pPr>
        <w:rPr>
          <w:lang w:val="en-US"/>
        </w:rPr>
      </w:pPr>
      <w:r>
        <w:t xml:space="preserve">13. Sampaio, S.A.P., Rivitti, E.A. Dermatologia. 3a ed. São Paulo: Artes Médicas. </w:t>
      </w:r>
      <w:proofErr w:type="gramStart"/>
      <w:r w:rsidRPr="00EA209F">
        <w:rPr>
          <w:lang w:val="en-US"/>
        </w:rPr>
        <w:t>2007; 1585.</w:t>
      </w:r>
      <w:proofErr w:type="gramEnd"/>
    </w:p>
    <w:p w:rsidR="00A7017D" w:rsidRPr="00EA209F" w:rsidRDefault="00A7017D" w:rsidP="00A7017D">
      <w:pPr>
        <w:rPr>
          <w:lang w:val="en-US"/>
        </w:rPr>
      </w:pPr>
    </w:p>
    <w:p w:rsidR="00A7017D" w:rsidRPr="008839AF" w:rsidRDefault="00A7017D" w:rsidP="00A7017D">
      <w:r w:rsidRPr="00EA209F">
        <w:rPr>
          <w:lang w:val="en-US"/>
        </w:rPr>
        <w:t>14. Davis, M.D., Richardson, D.</w:t>
      </w:r>
      <w:r>
        <w:rPr>
          <w:lang w:val="en-US"/>
        </w:rPr>
        <w:t xml:space="preserve">M., Farmer, S.A. Low yield for extended reading of patch tests with topical corticosteroids. </w:t>
      </w:r>
      <w:r w:rsidRPr="008839AF">
        <w:t>Dermatitis</w:t>
      </w:r>
      <w:r>
        <w:t xml:space="preserve">. 2005; </w:t>
      </w:r>
      <w:proofErr w:type="gramStart"/>
      <w:r>
        <w:t>16(3):</w:t>
      </w:r>
      <w:proofErr w:type="gramEnd"/>
      <w:r>
        <w:t>124-6.</w:t>
      </w:r>
    </w:p>
    <w:p w:rsidR="00A7017D" w:rsidRPr="008839AF" w:rsidRDefault="00A7017D" w:rsidP="00A7017D"/>
    <w:p w:rsidR="00A7017D" w:rsidRDefault="00A7017D" w:rsidP="00A7017D">
      <w:r>
        <w:t xml:space="preserve">15. Alchorne, A.O.A., Alchorne, </w:t>
      </w:r>
      <w:proofErr w:type="gramStart"/>
      <w:r>
        <w:t>M.M.</w:t>
      </w:r>
      <w:proofErr w:type="gramEnd"/>
      <w:r>
        <w:t xml:space="preserve">A, Macedo, M.S. Dermatite de contato. In: Rota </w:t>
      </w:r>
      <w:proofErr w:type="gramStart"/>
      <w:r>
        <w:t>O, coordenador</w:t>
      </w:r>
      <w:proofErr w:type="gramEnd"/>
      <w:r>
        <w:t>. Guia de Dermatologia: clínica, cirúrgica e cosmiátrica. Barueri (SP): Manole. 2008;195-203.</w:t>
      </w:r>
    </w:p>
    <w:p w:rsidR="00A7017D" w:rsidRPr="008839AF" w:rsidRDefault="00A7017D" w:rsidP="00A7017D"/>
    <w:p w:rsidR="00A7017D" w:rsidRPr="00A341C3" w:rsidRDefault="00A7017D" w:rsidP="00A7017D">
      <w:pPr>
        <w:rPr>
          <w:lang w:val="en-US"/>
        </w:rPr>
      </w:pPr>
      <w:proofErr w:type="gramStart"/>
      <w:r>
        <w:t>16.</w:t>
      </w:r>
      <w:proofErr w:type="gramEnd"/>
      <w:r>
        <w:t xml:space="preserve">Alchorne, A.O.A. “Patch Test,” Teste Epicutâneo ou de Contato, ou Epidermorreação. </w:t>
      </w:r>
      <w:r w:rsidRPr="00A341C3">
        <w:rPr>
          <w:lang w:val="en-US"/>
        </w:rPr>
        <w:t xml:space="preserve">Dermatologia </w:t>
      </w:r>
      <w:proofErr w:type="spellStart"/>
      <w:r w:rsidRPr="00A341C3">
        <w:rPr>
          <w:lang w:val="en-US"/>
        </w:rPr>
        <w:t>Atual</w:t>
      </w:r>
      <w:proofErr w:type="spellEnd"/>
      <w:r w:rsidRPr="00A341C3">
        <w:rPr>
          <w:lang w:val="en-US"/>
        </w:rPr>
        <w:t>.</w:t>
      </w:r>
      <w:r>
        <w:rPr>
          <w:lang w:val="en-US"/>
        </w:rPr>
        <w:t xml:space="preserve"> 1997</w:t>
      </w:r>
      <w:proofErr w:type="gramStart"/>
      <w:r>
        <w:rPr>
          <w:lang w:val="en-US"/>
        </w:rPr>
        <w:t>;  3</w:t>
      </w:r>
      <w:proofErr w:type="gramEnd"/>
      <w:r>
        <w:rPr>
          <w:lang w:val="en-US"/>
        </w:rPr>
        <w:t>(2):27-30.</w:t>
      </w:r>
    </w:p>
    <w:p w:rsidR="00A7017D" w:rsidRPr="00A341C3" w:rsidRDefault="00A7017D" w:rsidP="00A7017D">
      <w:pPr>
        <w:rPr>
          <w:lang w:val="en-US"/>
        </w:rPr>
      </w:pPr>
    </w:p>
    <w:p w:rsidR="00A7017D" w:rsidRDefault="00A7017D" w:rsidP="00A7017D">
      <w:pPr>
        <w:rPr>
          <w:lang w:val="en-US"/>
        </w:rPr>
      </w:pPr>
      <w:r w:rsidRPr="00A341C3">
        <w:rPr>
          <w:lang w:val="en-US"/>
        </w:rPr>
        <w:t>1</w:t>
      </w:r>
      <w:r>
        <w:rPr>
          <w:lang w:val="en-US"/>
        </w:rPr>
        <w:t xml:space="preserve">7. Bruze, M. Patch testing. In: Guin JD, editor.  Practional contact dermatitis: a handbook for the practioner. New York: McGraw-Hill. </w:t>
      </w:r>
      <w:proofErr w:type="gramStart"/>
      <w:r>
        <w:rPr>
          <w:lang w:val="en-US"/>
        </w:rPr>
        <w:t>1995; 41-62.</w:t>
      </w:r>
      <w:proofErr w:type="gramEnd"/>
    </w:p>
    <w:p w:rsidR="00A7017D" w:rsidRDefault="00A7017D" w:rsidP="00A7017D">
      <w:pPr>
        <w:rPr>
          <w:lang w:val="en-US"/>
        </w:rPr>
      </w:pPr>
    </w:p>
    <w:p w:rsidR="00A7017D" w:rsidRDefault="00A7017D" w:rsidP="00A7017D">
      <w:r>
        <w:rPr>
          <w:lang w:val="en-US"/>
        </w:rPr>
        <w:t xml:space="preserve">18. Walberg, J.E., Magnus, L. Patch testing. In: Frosch PJ, Menne T, Lepoittevin J-P, editors. </w:t>
      </w:r>
      <w:r w:rsidRPr="00EA209F">
        <w:t>Contact dermatitis. 4th ed.</w:t>
      </w:r>
      <w:r>
        <w:t>Berlim: Springer. 2006; 365-90.</w:t>
      </w:r>
    </w:p>
    <w:p w:rsidR="00A7017D" w:rsidRDefault="00A7017D" w:rsidP="00A7017D"/>
    <w:p w:rsidR="00A7017D" w:rsidRPr="00A341C3" w:rsidRDefault="00A7017D" w:rsidP="00A7017D">
      <w:pPr>
        <w:rPr>
          <w:lang w:val="en-US"/>
        </w:rPr>
      </w:pPr>
      <w:r>
        <w:t xml:space="preserve">19. Grupo Brasileiro de Estudo em Dermatite de Contato. Estudo multicêntrico para elaboração de uma bateria-padrão brasileira de teste de contato. </w:t>
      </w:r>
      <w:proofErr w:type="gramStart"/>
      <w:r w:rsidRPr="00A341C3">
        <w:rPr>
          <w:lang w:val="en-US"/>
        </w:rPr>
        <w:t>An  Bras</w:t>
      </w:r>
      <w:proofErr w:type="gramEnd"/>
      <w:r w:rsidRPr="00A341C3">
        <w:rPr>
          <w:lang w:val="en-US"/>
        </w:rPr>
        <w:t xml:space="preserve">  Dermatol.</w:t>
      </w:r>
      <w:r>
        <w:rPr>
          <w:lang w:val="en-US"/>
        </w:rPr>
        <w:t xml:space="preserve"> 2000; 75(2): 147-156.</w:t>
      </w:r>
    </w:p>
    <w:p w:rsidR="00A7017D" w:rsidRPr="00A341C3" w:rsidRDefault="00A7017D" w:rsidP="00A7017D">
      <w:pPr>
        <w:rPr>
          <w:lang w:val="en-US"/>
        </w:rPr>
      </w:pPr>
    </w:p>
    <w:p w:rsidR="00A7017D" w:rsidRDefault="00A7017D" w:rsidP="00A7017D">
      <w:pPr>
        <w:rPr>
          <w:lang w:val="en-US"/>
        </w:rPr>
      </w:pPr>
      <w:r w:rsidRPr="00F45677">
        <w:rPr>
          <w:lang w:val="en-US"/>
        </w:rPr>
        <w:t xml:space="preserve">20. Rietschel, R.L., Fowler Junior, JF. </w:t>
      </w:r>
      <w:proofErr w:type="gramStart"/>
      <w:r>
        <w:rPr>
          <w:lang w:val="en-US"/>
        </w:rPr>
        <w:t>Practical aspects of patch testing.</w:t>
      </w:r>
      <w:proofErr w:type="gramEnd"/>
      <w:r>
        <w:rPr>
          <w:lang w:val="en-US"/>
        </w:rPr>
        <w:t xml:space="preserve"> In: Rietschel RL, Fowler Junior JF. </w:t>
      </w:r>
      <w:proofErr w:type="gramStart"/>
      <w:r>
        <w:rPr>
          <w:lang w:val="en-US"/>
        </w:rPr>
        <w:t>Fisher’s contact dermatitis.</w:t>
      </w:r>
      <w:proofErr w:type="gramEnd"/>
      <w:r>
        <w:rPr>
          <w:lang w:val="en-US"/>
        </w:rPr>
        <w:t xml:space="preserve"> 5th ed. Philadelphia: Lippincott Williams &amp; Wilkins. </w:t>
      </w:r>
      <w:proofErr w:type="gramStart"/>
      <w:r>
        <w:rPr>
          <w:lang w:val="en-US"/>
        </w:rPr>
        <w:t>2001; 9-26.</w:t>
      </w:r>
      <w:proofErr w:type="gramEnd"/>
    </w:p>
    <w:p w:rsidR="00A7017D" w:rsidRDefault="00A7017D" w:rsidP="00A7017D">
      <w:pPr>
        <w:rPr>
          <w:lang w:val="en-US"/>
        </w:rPr>
      </w:pPr>
    </w:p>
    <w:p w:rsidR="00A7017D" w:rsidRPr="008839AF" w:rsidRDefault="00A7017D" w:rsidP="00A7017D">
      <w:pPr>
        <w:rPr>
          <w:lang w:val="en-US"/>
        </w:rPr>
      </w:pPr>
      <w:r>
        <w:rPr>
          <w:lang w:val="en-US"/>
        </w:rPr>
        <w:t xml:space="preserve">21. Walberg, J.E., Magnus, L. Patch testing. In: Frosch PJ, Menne T, Lepoittevin J-P, editors. </w:t>
      </w:r>
      <w:proofErr w:type="gramStart"/>
      <w:r>
        <w:rPr>
          <w:lang w:val="en-US"/>
        </w:rPr>
        <w:t>Contact dermatitis.</w:t>
      </w:r>
      <w:proofErr w:type="gramEnd"/>
      <w:r>
        <w:rPr>
          <w:lang w:val="en-US"/>
        </w:rPr>
        <w:t xml:space="preserve"> 4th </w:t>
      </w:r>
      <w:proofErr w:type="gramStart"/>
      <w:r>
        <w:rPr>
          <w:lang w:val="en-US"/>
        </w:rPr>
        <w:t>ed</w:t>
      </w:r>
      <w:proofErr w:type="gramEnd"/>
      <w:r>
        <w:rPr>
          <w:lang w:val="en-US"/>
        </w:rPr>
        <w:t xml:space="preserve">.   Berlim: Springer. </w:t>
      </w:r>
      <w:proofErr w:type="gramStart"/>
      <w:r>
        <w:rPr>
          <w:lang w:val="en-US"/>
        </w:rPr>
        <w:t>2006; 365-90.</w:t>
      </w:r>
      <w:proofErr w:type="gramEnd"/>
    </w:p>
    <w:p w:rsidR="00A7017D" w:rsidRDefault="00A7017D" w:rsidP="00A7017D">
      <w:pPr>
        <w:rPr>
          <w:lang w:val="en-US"/>
        </w:rPr>
      </w:pPr>
    </w:p>
    <w:p w:rsidR="00A7017D" w:rsidRDefault="00A7017D" w:rsidP="00A7017D">
      <w:pPr>
        <w:rPr>
          <w:lang w:val="en-US"/>
        </w:rPr>
      </w:pPr>
      <w:r>
        <w:rPr>
          <w:lang w:val="en-US"/>
        </w:rPr>
        <w:t>22</w:t>
      </w:r>
      <w:proofErr w:type="gramStart"/>
      <w:r>
        <w:rPr>
          <w:lang w:val="en-US"/>
        </w:rPr>
        <w:t>.Uter</w:t>
      </w:r>
      <w:proofErr w:type="gramEnd"/>
      <w:r>
        <w:rPr>
          <w:lang w:val="en-US"/>
        </w:rPr>
        <w:t>, W., Schnuch, A., Gefeller, O. Guidelines for care of contact dermatitis. Br Journal Dermatol.2001</w:t>
      </w:r>
      <w:proofErr w:type="gramStart"/>
      <w:r>
        <w:rPr>
          <w:lang w:val="en-US"/>
        </w:rPr>
        <w:t>;145</w:t>
      </w:r>
      <w:proofErr w:type="gramEnd"/>
      <w:r>
        <w:rPr>
          <w:lang w:val="en-US"/>
        </w:rPr>
        <w:t>: 877-885.</w:t>
      </w:r>
    </w:p>
    <w:p w:rsidR="00A7017D" w:rsidRDefault="00A7017D" w:rsidP="00A7017D">
      <w:pPr>
        <w:rPr>
          <w:lang w:val="en-US"/>
        </w:rPr>
      </w:pPr>
    </w:p>
    <w:p w:rsidR="00A7017D" w:rsidRPr="005810C0" w:rsidRDefault="00A7017D" w:rsidP="00A7017D">
      <w:pPr>
        <w:rPr>
          <w:lang w:val="en-US"/>
        </w:rPr>
      </w:pPr>
      <w:r>
        <w:rPr>
          <w:lang w:val="en-US"/>
        </w:rPr>
        <w:t xml:space="preserve">23. Diepgen T. Guideline on the management of hand eczema. </w:t>
      </w:r>
      <w:proofErr w:type="gramStart"/>
      <w:r w:rsidRPr="00A341C3">
        <w:rPr>
          <w:lang w:val="en-US"/>
        </w:rPr>
        <w:t>J Dtsch Dermatol Gess.</w:t>
      </w:r>
      <w:r>
        <w:rPr>
          <w:lang w:val="en-US"/>
        </w:rPr>
        <w:t>2009;</w:t>
      </w:r>
      <w:r w:rsidRPr="00A341C3">
        <w:rPr>
          <w:lang w:val="en-US"/>
        </w:rPr>
        <w:t xml:space="preserve"> Suppl 3.</w:t>
      </w:r>
      <w:r w:rsidRPr="005810C0">
        <w:rPr>
          <w:lang w:val="en-US"/>
        </w:rPr>
        <w:t>Vol. 7.</w:t>
      </w:r>
      <w:proofErr w:type="gramEnd"/>
    </w:p>
    <w:p w:rsidR="00A7017D" w:rsidRPr="005810C0" w:rsidRDefault="00A7017D" w:rsidP="00A7017D">
      <w:pPr>
        <w:rPr>
          <w:lang w:val="en-US"/>
        </w:rPr>
      </w:pPr>
    </w:p>
    <w:p w:rsidR="00A7017D" w:rsidRDefault="00A7017D" w:rsidP="00A7017D">
      <w:pPr>
        <w:pStyle w:val="Sangradetextonormal"/>
        <w:numPr>
          <w:ilvl w:val="1"/>
          <w:numId w:val="0"/>
        </w:numPr>
        <w:tabs>
          <w:tab w:val="num" w:pos="0"/>
        </w:tabs>
        <w:jc w:val="both"/>
        <w:rPr>
          <w:bCs/>
        </w:rPr>
      </w:pPr>
      <w:r w:rsidRPr="00A341C3">
        <w:t>24. Alchorne, AOA</w:t>
      </w:r>
      <w:r w:rsidRPr="002C780D">
        <w:t>,</w:t>
      </w:r>
      <w:r w:rsidRPr="00FD546D">
        <w:rPr>
          <w:bCs/>
        </w:rPr>
        <w:t xml:space="preserve">Macedo, MS, Alchorne, MMA,Flórez, GT.  Dermatitis de Contacto Alérgica. In: Mantilla, N. H.Tratado de Eccemas. 1ª Ed. </w:t>
      </w:r>
      <w:r>
        <w:rPr>
          <w:bCs/>
        </w:rPr>
        <w:t>Bogotá – Colômbia:</w:t>
      </w:r>
      <w:r w:rsidRPr="00FD546D">
        <w:rPr>
          <w:bCs/>
        </w:rPr>
        <w:t xml:space="preserve"> Ed. Le</w:t>
      </w:r>
      <w:r>
        <w:rPr>
          <w:bCs/>
        </w:rPr>
        <w:t>gis. 2008;172-92.</w:t>
      </w:r>
    </w:p>
    <w:p w:rsidR="00A7017D" w:rsidRPr="00FD546D" w:rsidRDefault="00A7017D" w:rsidP="00A7017D">
      <w:pPr>
        <w:pStyle w:val="Sangradetextonormal"/>
        <w:numPr>
          <w:ilvl w:val="1"/>
          <w:numId w:val="0"/>
        </w:numPr>
        <w:tabs>
          <w:tab w:val="num" w:pos="0"/>
        </w:tabs>
        <w:jc w:val="both"/>
        <w:rPr>
          <w:bCs/>
        </w:rPr>
      </w:pPr>
    </w:p>
    <w:p w:rsidR="00A7017D" w:rsidRDefault="00A7017D" w:rsidP="00A7017D">
      <w:pPr>
        <w:pStyle w:val="Sangradetextonormal"/>
        <w:ind w:left="0"/>
        <w:jc w:val="both"/>
      </w:pPr>
      <w:r w:rsidRPr="00FD546D">
        <w:rPr>
          <w:bCs/>
        </w:rPr>
        <w:t>25. Alchorne AOA; Valle SOR; Sole D.Derm</w:t>
      </w:r>
      <w:r>
        <w:rPr>
          <w:bCs/>
        </w:rPr>
        <w:t>atite de Contato.</w:t>
      </w:r>
      <w:r w:rsidRPr="00FD546D">
        <w:rPr>
          <w:bCs/>
        </w:rPr>
        <w:t xml:space="preserve"> In: </w:t>
      </w:r>
      <w:r w:rsidRPr="00FD546D">
        <w:t>Lupi</w:t>
      </w:r>
      <w:r>
        <w:t xml:space="preserve"> O, Santos J B, </w:t>
      </w:r>
      <w:r w:rsidRPr="00FD546D">
        <w:t>Cunha</w:t>
      </w:r>
      <w:r>
        <w:t xml:space="preserve"> P R Editores</w:t>
      </w:r>
      <w:r w:rsidRPr="00FD546D">
        <w:t>.Rotinas de Diagnóstico e Tratamento da Sociedade Brasileira de Dermatologia. São Paulo</w:t>
      </w:r>
      <w:r>
        <w:t xml:space="preserve">: </w:t>
      </w:r>
      <w:r w:rsidRPr="00FD546D">
        <w:t>Ed. AC Farmacêutica Ltda e coedição com a Ed. Guanabara Koogan Ltda.</w:t>
      </w:r>
      <w:r>
        <w:t>2010;97-102.</w:t>
      </w:r>
    </w:p>
    <w:p w:rsidR="00A7017D" w:rsidRDefault="00A7017D" w:rsidP="00A7017D">
      <w:pPr>
        <w:pStyle w:val="Sangradetextonormal"/>
        <w:ind w:left="0"/>
        <w:jc w:val="both"/>
      </w:pPr>
    </w:p>
    <w:p w:rsidR="00A7017D" w:rsidRPr="00F45677" w:rsidRDefault="00A7017D" w:rsidP="00A7017D"/>
    <w:p w:rsidR="00A7017D" w:rsidRPr="00F45677" w:rsidRDefault="00A7017D" w:rsidP="00A7017D">
      <w:pPr>
        <w:spacing w:line="480" w:lineRule="auto"/>
        <w:jc w:val="both"/>
        <w:rPr>
          <w:b/>
          <w:sz w:val="32"/>
          <w:szCs w:val="32"/>
        </w:rPr>
      </w:pPr>
      <w:r w:rsidRPr="00F45677">
        <w:rPr>
          <w:b/>
          <w:sz w:val="32"/>
          <w:szCs w:val="32"/>
        </w:rPr>
        <w:t>LEITURAS RECOMENDADAS</w:t>
      </w:r>
    </w:p>
    <w:p w:rsidR="00A7017D" w:rsidRPr="00F45677" w:rsidRDefault="00A7017D" w:rsidP="00A7017D">
      <w:pPr>
        <w:rPr>
          <w:b/>
          <w:color w:val="000000"/>
        </w:rPr>
      </w:pPr>
      <w:r w:rsidRPr="00F45677">
        <w:rPr>
          <w:b/>
          <w:color w:val="000000"/>
        </w:rPr>
        <w:t>Sites recomendados</w:t>
      </w:r>
    </w:p>
    <w:p w:rsidR="00A7017D" w:rsidRPr="00F45677" w:rsidRDefault="00A7017D" w:rsidP="00A7017D">
      <w:r w:rsidRPr="00F45677">
        <w:t>1. http://www.contactderm.org</w:t>
      </w:r>
    </w:p>
    <w:p w:rsidR="00A7017D" w:rsidRPr="00EA209F" w:rsidRDefault="00A7017D" w:rsidP="00A7017D">
      <w:r w:rsidRPr="00F45677">
        <w:t>2. http://orgs.dermis.net/content/e01escd/e01a</w:t>
      </w:r>
      <w:r w:rsidRPr="00337085">
        <w:t>ims/</w:t>
      </w:r>
      <w:r w:rsidRPr="00426258">
        <w:t>index_</w:t>
      </w:r>
      <w:r w:rsidRPr="00EA209F">
        <w:t>ger.html</w:t>
      </w:r>
    </w:p>
    <w:p w:rsidR="00A7017D" w:rsidRPr="00EA209F" w:rsidRDefault="00A7017D" w:rsidP="00A7017D">
      <w:r w:rsidRPr="00EA209F">
        <w:t xml:space="preserve">3. </w:t>
      </w:r>
      <w:hyperlink r:id="rId28" w:history="1">
        <w:r w:rsidRPr="00EA209F">
          <w:rPr>
            <w:rStyle w:val="Hipervnculo"/>
            <w:rFonts w:eastAsiaTheme="majorEastAsia"/>
          </w:rPr>
          <w:t>http://www.blackwell-ynergy.com/servlet/useragent?func=showIssues&amp;code=cod</w:t>
        </w:r>
      </w:hyperlink>
    </w:p>
    <w:p w:rsidR="00A7017D" w:rsidRDefault="00A7017D" w:rsidP="00A7017D">
      <w:pPr>
        <w:rPr>
          <w:bCs/>
        </w:rPr>
      </w:pPr>
      <w:r>
        <w:rPr>
          <w:bCs/>
          <w:lang w:val="en-US"/>
        </w:rPr>
        <w:t xml:space="preserve">4. </w:t>
      </w:r>
      <w:hyperlink r:id="rId29" w:history="1">
        <w:r>
          <w:rPr>
            <w:rStyle w:val="Hipervnculo"/>
            <w:rFonts w:eastAsiaTheme="majorEastAsia"/>
            <w:bCs/>
            <w:color w:val="auto"/>
            <w:lang w:val="en-US"/>
          </w:rPr>
          <w:t>http://www.sbd.org.br</w:t>
        </w:r>
      </w:hyperlink>
    </w:p>
    <w:p w:rsidR="00A7017D" w:rsidRDefault="00A7017D" w:rsidP="00A7017D">
      <w:pPr>
        <w:rPr>
          <w:bCs/>
          <w:lang w:val="en-US"/>
        </w:rPr>
      </w:pPr>
    </w:p>
    <w:p w:rsidR="00A7017D" w:rsidRDefault="00A7017D" w:rsidP="00A7017D">
      <w:pPr>
        <w:rPr>
          <w:lang w:val="en-US"/>
        </w:rPr>
      </w:pPr>
    </w:p>
    <w:p w:rsidR="004814BA" w:rsidRDefault="004814BA"/>
    <w:sectPr w:rsidR="004814BA" w:rsidSect="004814B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sar fonte para texto asiático">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D213A"/>
    <w:multiLevelType w:val="hybridMultilevel"/>
    <w:tmpl w:val="45FE7638"/>
    <w:lvl w:ilvl="0" w:tplc="D792B7E2">
      <w:start w:val="1"/>
      <w:numFmt w:val="bullet"/>
      <w:lvlText w:val="•"/>
      <w:lvlJc w:val="left"/>
      <w:pPr>
        <w:tabs>
          <w:tab w:val="num" w:pos="720"/>
        </w:tabs>
        <w:ind w:left="720" w:hanging="360"/>
      </w:pPr>
      <w:rPr>
        <w:rFonts w:ascii="Times New Roman" w:hAnsi="Times New Roman" w:hint="default"/>
      </w:rPr>
    </w:lvl>
    <w:lvl w:ilvl="1" w:tplc="DCB25950">
      <w:start w:val="2043"/>
      <w:numFmt w:val="bullet"/>
      <w:lvlText w:val="–"/>
      <w:lvlJc w:val="left"/>
      <w:pPr>
        <w:tabs>
          <w:tab w:val="num" w:pos="1440"/>
        </w:tabs>
        <w:ind w:left="1440" w:hanging="360"/>
      </w:pPr>
      <w:rPr>
        <w:rFonts w:ascii="Arial" w:hAnsi="Arial" w:hint="default"/>
      </w:rPr>
    </w:lvl>
    <w:lvl w:ilvl="2" w:tplc="DC704DD6" w:tentative="1">
      <w:start w:val="1"/>
      <w:numFmt w:val="bullet"/>
      <w:lvlText w:val="•"/>
      <w:lvlJc w:val="left"/>
      <w:pPr>
        <w:tabs>
          <w:tab w:val="num" w:pos="2160"/>
        </w:tabs>
        <w:ind w:left="2160" w:hanging="360"/>
      </w:pPr>
      <w:rPr>
        <w:rFonts w:ascii="Times New Roman" w:hAnsi="Times New Roman" w:hint="default"/>
      </w:rPr>
    </w:lvl>
    <w:lvl w:ilvl="3" w:tplc="6CD216EC" w:tentative="1">
      <w:start w:val="1"/>
      <w:numFmt w:val="bullet"/>
      <w:lvlText w:val="•"/>
      <w:lvlJc w:val="left"/>
      <w:pPr>
        <w:tabs>
          <w:tab w:val="num" w:pos="2880"/>
        </w:tabs>
        <w:ind w:left="2880" w:hanging="360"/>
      </w:pPr>
      <w:rPr>
        <w:rFonts w:ascii="Times New Roman" w:hAnsi="Times New Roman" w:hint="default"/>
      </w:rPr>
    </w:lvl>
    <w:lvl w:ilvl="4" w:tplc="DD466570" w:tentative="1">
      <w:start w:val="1"/>
      <w:numFmt w:val="bullet"/>
      <w:lvlText w:val="•"/>
      <w:lvlJc w:val="left"/>
      <w:pPr>
        <w:tabs>
          <w:tab w:val="num" w:pos="3600"/>
        </w:tabs>
        <w:ind w:left="3600" w:hanging="360"/>
      </w:pPr>
      <w:rPr>
        <w:rFonts w:ascii="Times New Roman" w:hAnsi="Times New Roman" w:hint="default"/>
      </w:rPr>
    </w:lvl>
    <w:lvl w:ilvl="5" w:tplc="EC8E8302" w:tentative="1">
      <w:start w:val="1"/>
      <w:numFmt w:val="bullet"/>
      <w:lvlText w:val="•"/>
      <w:lvlJc w:val="left"/>
      <w:pPr>
        <w:tabs>
          <w:tab w:val="num" w:pos="4320"/>
        </w:tabs>
        <w:ind w:left="4320" w:hanging="360"/>
      </w:pPr>
      <w:rPr>
        <w:rFonts w:ascii="Times New Roman" w:hAnsi="Times New Roman" w:hint="default"/>
      </w:rPr>
    </w:lvl>
    <w:lvl w:ilvl="6" w:tplc="4D5E9AA0" w:tentative="1">
      <w:start w:val="1"/>
      <w:numFmt w:val="bullet"/>
      <w:lvlText w:val="•"/>
      <w:lvlJc w:val="left"/>
      <w:pPr>
        <w:tabs>
          <w:tab w:val="num" w:pos="5040"/>
        </w:tabs>
        <w:ind w:left="5040" w:hanging="360"/>
      </w:pPr>
      <w:rPr>
        <w:rFonts w:ascii="Times New Roman" w:hAnsi="Times New Roman" w:hint="default"/>
      </w:rPr>
    </w:lvl>
    <w:lvl w:ilvl="7" w:tplc="860AC8A8" w:tentative="1">
      <w:start w:val="1"/>
      <w:numFmt w:val="bullet"/>
      <w:lvlText w:val="•"/>
      <w:lvlJc w:val="left"/>
      <w:pPr>
        <w:tabs>
          <w:tab w:val="num" w:pos="5760"/>
        </w:tabs>
        <w:ind w:left="5760" w:hanging="360"/>
      </w:pPr>
      <w:rPr>
        <w:rFonts w:ascii="Times New Roman" w:hAnsi="Times New Roman" w:hint="default"/>
      </w:rPr>
    </w:lvl>
    <w:lvl w:ilvl="8" w:tplc="93665A6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33407B0"/>
    <w:multiLevelType w:val="hybridMultilevel"/>
    <w:tmpl w:val="3970D55E"/>
    <w:lvl w:ilvl="0" w:tplc="FFFFFFFF">
      <w:start w:val="1"/>
      <w:numFmt w:val="lowerLetter"/>
      <w:lvlText w:val="(%1)"/>
      <w:lvlJc w:val="left"/>
      <w:pPr>
        <w:tabs>
          <w:tab w:val="num" w:pos="765"/>
        </w:tabs>
        <w:ind w:left="765" w:hanging="4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37A0A22"/>
    <w:multiLevelType w:val="hybridMultilevel"/>
    <w:tmpl w:val="D9E25992"/>
    <w:lvl w:ilvl="0" w:tplc="B79C5A68">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416925CF"/>
    <w:multiLevelType w:val="hybridMultilevel"/>
    <w:tmpl w:val="5978B2F2"/>
    <w:lvl w:ilvl="0" w:tplc="DCB25950">
      <w:start w:val="2043"/>
      <w:numFmt w:val="bullet"/>
      <w:lvlText w:val="–"/>
      <w:lvlJc w:val="left"/>
      <w:pPr>
        <w:ind w:left="1429" w:hanging="360"/>
      </w:pPr>
      <w:rPr>
        <w:rFonts w:ascii="Arial" w:hAnsi="Arial" w:hint="default"/>
      </w:rPr>
    </w:lvl>
    <w:lvl w:ilvl="1" w:tplc="DCB25950">
      <w:start w:val="2043"/>
      <w:numFmt w:val="bullet"/>
      <w:lvlText w:val="–"/>
      <w:lvlJc w:val="left"/>
      <w:pPr>
        <w:ind w:left="2149" w:hanging="360"/>
      </w:pPr>
      <w:rPr>
        <w:rFonts w:ascii="Arial" w:hAnsi="Aria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48B21742"/>
    <w:multiLevelType w:val="hybridMultilevel"/>
    <w:tmpl w:val="18ACDDC4"/>
    <w:lvl w:ilvl="0" w:tplc="50788AD8">
      <w:start w:val="1"/>
      <w:numFmt w:val="decimal"/>
      <w:lvlText w:val="%1."/>
      <w:lvlJc w:val="left"/>
      <w:pPr>
        <w:tabs>
          <w:tab w:val="num" w:pos="1860"/>
        </w:tabs>
        <w:ind w:left="1860" w:hanging="78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5">
    <w:nsid w:val="4C4D5C35"/>
    <w:multiLevelType w:val="hybridMultilevel"/>
    <w:tmpl w:val="8D6C02F6"/>
    <w:lvl w:ilvl="0" w:tplc="04160001">
      <w:start w:val="9"/>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56B81E5E"/>
    <w:multiLevelType w:val="hybridMultilevel"/>
    <w:tmpl w:val="E38AD4C2"/>
    <w:lvl w:ilvl="0" w:tplc="D59C3E9C">
      <w:start w:val="1"/>
      <w:numFmt w:val="decimal"/>
      <w:lvlText w:val="%1-"/>
      <w:lvlJc w:val="left"/>
      <w:pPr>
        <w:tabs>
          <w:tab w:val="num" w:pos="1068"/>
        </w:tabs>
        <w:ind w:left="1068" w:hanging="360"/>
      </w:pPr>
      <w:rPr>
        <w:rFonts w:ascii="Times New Roman" w:eastAsia="Times New Roman" w:hAnsi="Times New Roman" w:cs="Times New Roman"/>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
    <w:nsid w:val="5DF955DF"/>
    <w:multiLevelType w:val="multilevel"/>
    <w:tmpl w:val="0FD4BD6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63226AD9"/>
    <w:multiLevelType w:val="multilevel"/>
    <w:tmpl w:val="FC004FE6"/>
    <w:lvl w:ilvl="0">
      <w:start w:val="1"/>
      <w:numFmt w:val="decimal"/>
      <w:lvlText w:val="%1."/>
      <w:lvlJc w:val="left"/>
      <w:pPr>
        <w:tabs>
          <w:tab w:val="num" w:pos="1068"/>
        </w:tabs>
        <w:ind w:left="1068" w:hanging="360"/>
      </w:pPr>
      <w:rPr>
        <w:rFonts w:ascii="Times New Roman" w:eastAsia="Times New Roman" w:hAnsi="Times New Roman" w:cs="Times New Roman"/>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nsid w:val="7A636EFB"/>
    <w:multiLevelType w:val="hybridMultilevel"/>
    <w:tmpl w:val="81589CA8"/>
    <w:lvl w:ilvl="0" w:tplc="FFF63118">
      <w:start w:val="1"/>
      <w:numFmt w:val="decimal"/>
      <w:lvlText w:val="%1-"/>
      <w:lvlJc w:val="left"/>
      <w:pPr>
        <w:tabs>
          <w:tab w:val="num" w:pos="720"/>
        </w:tabs>
        <w:ind w:left="720" w:hanging="360"/>
      </w:pPr>
      <w:rPr>
        <w:rFonts w:hint="default"/>
      </w:rPr>
    </w:lvl>
    <w:lvl w:ilvl="1" w:tplc="0416000B">
      <w:start w:val="1"/>
      <w:numFmt w:val="bullet"/>
      <w:lvlText w:val=""/>
      <w:lvlJc w:val="left"/>
      <w:pPr>
        <w:tabs>
          <w:tab w:val="num" w:pos="1440"/>
        </w:tabs>
        <w:ind w:left="1440" w:hanging="360"/>
      </w:pPr>
      <w:rPr>
        <w:rFonts w:ascii="Wingdings" w:hAnsi="Wingding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7D6C5FFE"/>
    <w:multiLevelType w:val="hybridMultilevel"/>
    <w:tmpl w:val="1AAA6632"/>
    <w:lvl w:ilvl="0" w:tplc="1E4A43BE">
      <w:start w:val="1"/>
      <w:numFmt w:val="upperLetter"/>
      <w:lvlText w:val="%1-"/>
      <w:lvlJc w:val="left"/>
      <w:pPr>
        <w:tabs>
          <w:tab w:val="num" w:pos="1440"/>
        </w:tabs>
        <w:ind w:left="1440" w:hanging="360"/>
      </w:pPr>
      <w:rPr>
        <w:rFonts w:hint="default"/>
        <w:b/>
        <w:color w:val="000000"/>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1">
    <w:nsid w:val="7F3156C4"/>
    <w:multiLevelType w:val="hybridMultilevel"/>
    <w:tmpl w:val="95F8DE72"/>
    <w:lvl w:ilvl="0" w:tplc="0416000F">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
  </w:num>
  <w:num w:numId="2">
    <w:abstractNumId w:val="4"/>
  </w:num>
  <w:num w:numId="3">
    <w:abstractNumId w:val="10"/>
  </w:num>
  <w:num w:numId="4">
    <w:abstractNumId w:val="5"/>
  </w:num>
  <w:num w:numId="5">
    <w:abstractNumId w:val="8"/>
  </w:num>
  <w:num w:numId="6">
    <w:abstractNumId w:val="6"/>
  </w:num>
  <w:num w:numId="7">
    <w:abstractNumId w:val="9"/>
  </w:num>
  <w:num w:numId="8">
    <w:abstractNumId w:val="2"/>
  </w:num>
  <w:num w:numId="9">
    <w:abstractNumId w:val="0"/>
  </w:num>
  <w:num w:numId="10">
    <w:abstractNumId w:val="1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7D"/>
    <w:rsid w:val="0002305B"/>
    <w:rsid w:val="00026B9C"/>
    <w:rsid w:val="00046416"/>
    <w:rsid w:val="000768D5"/>
    <w:rsid w:val="00090815"/>
    <w:rsid w:val="001F000B"/>
    <w:rsid w:val="00267ABF"/>
    <w:rsid w:val="002D02D9"/>
    <w:rsid w:val="00317494"/>
    <w:rsid w:val="00460157"/>
    <w:rsid w:val="004814BA"/>
    <w:rsid w:val="004F1C00"/>
    <w:rsid w:val="00513F93"/>
    <w:rsid w:val="005810C0"/>
    <w:rsid w:val="00585830"/>
    <w:rsid w:val="005B13EB"/>
    <w:rsid w:val="006A0904"/>
    <w:rsid w:val="00723068"/>
    <w:rsid w:val="007F2258"/>
    <w:rsid w:val="008346ED"/>
    <w:rsid w:val="0087601C"/>
    <w:rsid w:val="008B1423"/>
    <w:rsid w:val="008C6E0D"/>
    <w:rsid w:val="009B2BCD"/>
    <w:rsid w:val="009E7927"/>
    <w:rsid w:val="00A7017D"/>
    <w:rsid w:val="00AF04BE"/>
    <w:rsid w:val="00B304A5"/>
    <w:rsid w:val="00B354EF"/>
    <w:rsid w:val="00B65EE1"/>
    <w:rsid w:val="00B967A7"/>
    <w:rsid w:val="00D247FB"/>
    <w:rsid w:val="00DF0550"/>
    <w:rsid w:val="00E963AB"/>
    <w:rsid w:val="00EC373A"/>
    <w:rsid w:val="00EE6C39"/>
    <w:rsid w:val="00F242B4"/>
    <w:rsid w:val="00F30763"/>
    <w:rsid w:val="00F860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17D"/>
    <w:pPr>
      <w:spacing w:after="0" w:line="240" w:lineRule="auto"/>
    </w:pPr>
    <w:rPr>
      <w:rFonts w:ascii="Times New Roman" w:eastAsia="Times New Roman" w:hAnsi="Times New Roman" w:cs="Times New Roman"/>
      <w:sz w:val="24"/>
      <w:szCs w:val="24"/>
      <w:lang w:val="pt-BR" w:eastAsia="pt-BR" w:bidi="ar-SA"/>
    </w:rPr>
  </w:style>
  <w:style w:type="paragraph" w:styleId="Ttulo1">
    <w:name w:val="heading 1"/>
    <w:basedOn w:val="Normal"/>
    <w:next w:val="Normal"/>
    <w:link w:val="Ttulo1Car"/>
    <w:qFormat/>
    <w:rsid w:val="00EC37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EC37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C373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C37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C373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C373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C373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C373A"/>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C373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373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C373A"/>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EC373A"/>
    <w:pPr>
      <w:ind w:left="720"/>
      <w:contextualSpacing/>
    </w:pPr>
  </w:style>
  <w:style w:type="character" w:customStyle="1" w:styleId="Ttulo3Car">
    <w:name w:val="Título 3 Car"/>
    <w:basedOn w:val="Fuentedeprrafopredeter"/>
    <w:link w:val="Ttulo3"/>
    <w:uiPriority w:val="9"/>
    <w:rsid w:val="00EC373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C373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EC373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C373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EC373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EC373A"/>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EC373A"/>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EC373A"/>
    <w:rPr>
      <w:b/>
      <w:bCs/>
      <w:color w:val="4F81BD" w:themeColor="accent1"/>
      <w:sz w:val="18"/>
      <w:szCs w:val="18"/>
    </w:rPr>
  </w:style>
  <w:style w:type="paragraph" w:styleId="Ttulo">
    <w:name w:val="Title"/>
    <w:basedOn w:val="Normal"/>
    <w:next w:val="Normal"/>
    <w:link w:val="TtuloCar"/>
    <w:uiPriority w:val="10"/>
    <w:qFormat/>
    <w:rsid w:val="00EC37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C373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C373A"/>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EC373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EC373A"/>
    <w:rPr>
      <w:b/>
      <w:bCs/>
    </w:rPr>
  </w:style>
  <w:style w:type="character" w:styleId="nfasis">
    <w:name w:val="Emphasis"/>
    <w:basedOn w:val="Fuentedeprrafopredeter"/>
    <w:uiPriority w:val="20"/>
    <w:qFormat/>
    <w:rsid w:val="00EC373A"/>
    <w:rPr>
      <w:i/>
      <w:iCs/>
    </w:rPr>
  </w:style>
  <w:style w:type="paragraph" w:styleId="Sinespaciado">
    <w:name w:val="No Spacing"/>
    <w:uiPriority w:val="1"/>
    <w:qFormat/>
    <w:rsid w:val="00EC373A"/>
    <w:pPr>
      <w:spacing w:after="0" w:line="240" w:lineRule="auto"/>
    </w:pPr>
  </w:style>
  <w:style w:type="paragraph" w:styleId="Cita">
    <w:name w:val="Quote"/>
    <w:basedOn w:val="Normal"/>
    <w:next w:val="Normal"/>
    <w:link w:val="CitaCar"/>
    <w:uiPriority w:val="29"/>
    <w:qFormat/>
    <w:rsid w:val="00EC373A"/>
    <w:rPr>
      <w:i/>
      <w:iCs/>
      <w:color w:val="000000" w:themeColor="text1"/>
    </w:rPr>
  </w:style>
  <w:style w:type="character" w:customStyle="1" w:styleId="CitaCar">
    <w:name w:val="Cita Car"/>
    <w:basedOn w:val="Fuentedeprrafopredeter"/>
    <w:link w:val="Cita"/>
    <w:uiPriority w:val="29"/>
    <w:rsid w:val="00EC373A"/>
    <w:rPr>
      <w:i/>
      <w:iCs/>
      <w:color w:val="000000" w:themeColor="text1"/>
    </w:rPr>
  </w:style>
  <w:style w:type="paragraph" w:styleId="Citadestacada">
    <w:name w:val="Intense Quote"/>
    <w:basedOn w:val="Normal"/>
    <w:next w:val="Normal"/>
    <w:link w:val="CitadestacadaCar"/>
    <w:uiPriority w:val="30"/>
    <w:qFormat/>
    <w:rsid w:val="00EC373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C373A"/>
    <w:rPr>
      <w:b/>
      <w:bCs/>
      <w:i/>
      <w:iCs/>
      <w:color w:val="4F81BD" w:themeColor="accent1"/>
    </w:rPr>
  </w:style>
  <w:style w:type="character" w:styleId="nfasissutil">
    <w:name w:val="Subtle Emphasis"/>
    <w:basedOn w:val="Fuentedeprrafopredeter"/>
    <w:uiPriority w:val="19"/>
    <w:qFormat/>
    <w:rsid w:val="00EC373A"/>
    <w:rPr>
      <w:i/>
      <w:iCs/>
      <w:color w:val="808080" w:themeColor="text1" w:themeTint="7F"/>
    </w:rPr>
  </w:style>
  <w:style w:type="character" w:styleId="nfasisintenso">
    <w:name w:val="Intense Emphasis"/>
    <w:basedOn w:val="Fuentedeprrafopredeter"/>
    <w:uiPriority w:val="21"/>
    <w:qFormat/>
    <w:rsid w:val="00EC373A"/>
    <w:rPr>
      <w:b/>
      <w:bCs/>
      <w:i/>
      <w:iCs/>
      <w:color w:val="4F81BD" w:themeColor="accent1"/>
    </w:rPr>
  </w:style>
  <w:style w:type="character" w:styleId="Referenciasutil">
    <w:name w:val="Subtle Reference"/>
    <w:basedOn w:val="Fuentedeprrafopredeter"/>
    <w:uiPriority w:val="31"/>
    <w:qFormat/>
    <w:rsid w:val="00EC373A"/>
    <w:rPr>
      <w:smallCaps/>
      <w:color w:val="C0504D" w:themeColor="accent2"/>
      <w:u w:val="single"/>
    </w:rPr>
  </w:style>
  <w:style w:type="character" w:styleId="Referenciaintensa">
    <w:name w:val="Intense Reference"/>
    <w:basedOn w:val="Fuentedeprrafopredeter"/>
    <w:uiPriority w:val="32"/>
    <w:qFormat/>
    <w:rsid w:val="00EC373A"/>
    <w:rPr>
      <w:b/>
      <w:bCs/>
      <w:smallCaps/>
      <w:color w:val="C0504D" w:themeColor="accent2"/>
      <w:spacing w:val="5"/>
      <w:u w:val="single"/>
    </w:rPr>
  </w:style>
  <w:style w:type="character" w:styleId="Ttulodellibro">
    <w:name w:val="Book Title"/>
    <w:basedOn w:val="Fuentedeprrafopredeter"/>
    <w:uiPriority w:val="33"/>
    <w:qFormat/>
    <w:rsid w:val="00EC373A"/>
    <w:rPr>
      <w:b/>
      <w:bCs/>
      <w:smallCaps/>
      <w:spacing w:val="5"/>
    </w:rPr>
  </w:style>
  <w:style w:type="paragraph" w:styleId="TtulodeTDC">
    <w:name w:val="TOC Heading"/>
    <w:basedOn w:val="Ttulo1"/>
    <w:next w:val="Normal"/>
    <w:uiPriority w:val="39"/>
    <w:semiHidden/>
    <w:unhideWhenUsed/>
    <w:qFormat/>
    <w:rsid w:val="00EC373A"/>
    <w:pPr>
      <w:outlineLvl w:val="9"/>
    </w:pPr>
  </w:style>
  <w:style w:type="paragraph" w:styleId="Sangradetextonormal">
    <w:name w:val="Body Text Indent"/>
    <w:basedOn w:val="Normal"/>
    <w:link w:val="SangradetextonormalCar"/>
    <w:semiHidden/>
    <w:rsid w:val="00A7017D"/>
    <w:pPr>
      <w:spacing w:after="120"/>
      <w:ind w:left="283"/>
    </w:pPr>
  </w:style>
  <w:style w:type="character" w:customStyle="1" w:styleId="SangradetextonormalCar">
    <w:name w:val="Sangría de texto normal Car"/>
    <w:basedOn w:val="Fuentedeprrafopredeter"/>
    <w:link w:val="Sangradetextonormal"/>
    <w:semiHidden/>
    <w:rsid w:val="00A7017D"/>
    <w:rPr>
      <w:rFonts w:ascii="Times New Roman" w:eastAsia="Times New Roman" w:hAnsi="Times New Roman" w:cs="Times New Roman"/>
      <w:sz w:val="24"/>
      <w:szCs w:val="24"/>
      <w:lang w:val="pt-BR" w:eastAsia="pt-BR" w:bidi="ar-SA"/>
    </w:rPr>
  </w:style>
  <w:style w:type="paragraph" w:styleId="Textoindependiente3">
    <w:name w:val="Body Text 3"/>
    <w:basedOn w:val="Normal"/>
    <w:link w:val="Textoindependiente3Car"/>
    <w:semiHidden/>
    <w:rsid w:val="00A7017D"/>
    <w:pPr>
      <w:spacing w:line="360" w:lineRule="auto"/>
      <w:jc w:val="both"/>
    </w:pPr>
  </w:style>
  <w:style w:type="character" w:customStyle="1" w:styleId="Textoindependiente3Car">
    <w:name w:val="Texto independiente 3 Car"/>
    <w:basedOn w:val="Fuentedeprrafopredeter"/>
    <w:link w:val="Textoindependiente3"/>
    <w:semiHidden/>
    <w:rsid w:val="00A7017D"/>
    <w:rPr>
      <w:rFonts w:ascii="Times New Roman" w:eastAsia="Times New Roman" w:hAnsi="Times New Roman" w:cs="Times New Roman"/>
      <w:sz w:val="24"/>
      <w:szCs w:val="24"/>
      <w:lang w:val="pt-BR" w:eastAsia="pt-BR" w:bidi="ar-SA"/>
    </w:rPr>
  </w:style>
  <w:style w:type="paragraph" w:styleId="Sangra2detindependiente">
    <w:name w:val="Body Text Indent 2"/>
    <w:basedOn w:val="Normal"/>
    <w:link w:val="Sangra2detindependienteCar"/>
    <w:semiHidden/>
    <w:rsid w:val="00A7017D"/>
    <w:pPr>
      <w:spacing w:line="360" w:lineRule="auto"/>
      <w:ind w:left="360"/>
      <w:jc w:val="both"/>
    </w:pPr>
  </w:style>
  <w:style w:type="character" w:customStyle="1" w:styleId="Sangra2detindependienteCar">
    <w:name w:val="Sangría 2 de t. independiente Car"/>
    <w:basedOn w:val="Fuentedeprrafopredeter"/>
    <w:link w:val="Sangra2detindependiente"/>
    <w:semiHidden/>
    <w:rsid w:val="00A7017D"/>
    <w:rPr>
      <w:rFonts w:ascii="Times New Roman" w:eastAsia="Times New Roman" w:hAnsi="Times New Roman" w:cs="Times New Roman"/>
      <w:sz w:val="24"/>
      <w:szCs w:val="24"/>
      <w:lang w:val="pt-BR" w:eastAsia="pt-BR" w:bidi="ar-SA"/>
    </w:rPr>
  </w:style>
  <w:style w:type="paragraph" w:styleId="Sangra3detindependiente">
    <w:name w:val="Body Text Indent 3"/>
    <w:basedOn w:val="Normal"/>
    <w:link w:val="Sangra3detindependienteCar"/>
    <w:semiHidden/>
    <w:rsid w:val="00A7017D"/>
    <w:pPr>
      <w:spacing w:line="360" w:lineRule="auto"/>
      <w:ind w:left="3960" w:hanging="3600"/>
    </w:pPr>
  </w:style>
  <w:style w:type="character" w:customStyle="1" w:styleId="Sangra3detindependienteCar">
    <w:name w:val="Sangría 3 de t. independiente Car"/>
    <w:basedOn w:val="Fuentedeprrafopredeter"/>
    <w:link w:val="Sangra3detindependiente"/>
    <w:semiHidden/>
    <w:rsid w:val="00A7017D"/>
    <w:rPr>
      <w:rFonts w:ascii="Times New Roman" w:eastAsia="Times New Roman" w:hAnsi="Times New Roman" w:cs="Times New Roman"/>
      <w:sz w:val="24"/>
      <w:szCs w:val="24"/>
      <w:lang w:val="pt-BR" w:eastAsia="pt-BR" w:bidi="ar-SA"/>
    </w:rPr>
  </w:style>
  <w:style w:type="paragraph" w:styleId="Textoindependiente">
    <w:name w:val="Body Text"/>
    <w:basedOn w:val="Normal"/>
    <w:link w:val="TextoindependienteCar"/>
    <w:semiHidden/>
    <w:rsid w:val="00A7017D"/>
    <w:rPr>
      <w:sz w:val="32"/>
      <w:lang w:eastAsia="en-US"/>
    </w:rPr>
  </w:style>
  <w:style w:type="character" w:customStyle="1" w:styleId="TextoindependienteCar">
    <w:name w:val="Texto independiente Car"/>
    <w:basedOn w:val="Fuentedeprrafopredeter"/>
    <w:link w:val="Textoindependiente"/>
    <w:semiHidden/>
    <w:rsid w:val="00A7017D"/>
    <w:rPr>
      <w:rFonts w:ascii="Times New Roman" w:eastAsia="Times New Roman" w:hAnsi="Times New Roman" w:cs="Times New Roman"/>
      <w:sz w:val="32"/>
      <w:szCs w:val="24"/>
      <w:lang w:val="pt-BR" w:bidi="ar-SA"/>
    </w:rPr>
  </w:style>
  <w:style w:type="paragraph" w:styleId="Textoindependiente2">
    <w:name w:val="Body Text 2"/>
    <w:basedOn w:val="Normal"/>
    <w:link w:val="Textoindependiente2Car"/>
    <w:semiHidden/>
    <w:rsid w:val="00A7017D"/>
    <w:pPr>
      <w:spacing w:after="120" w:line="480" w:lineRule="auto"/>
    </w:pPr>
  </w:style>
  <w:style w:type="character" w:customStyle="1" w:styleId="Textoindependiente2Car">
    <w:name w:val="Texto independiente 2 Car"/>
    <w:basedOn w:val="Fuentedeprrafopredeter"/>
    <w:link w:val="Textoindependiente2"/>
    <w:semiHidden/>
    <w:rsid w:val="00A7017D"/>
    <w:rPr>
      <w:rFonts w:ascii="Times New Roman" w:eastAsia="Times New Roman" w:hAnsi="Times New Roman" w:cs="Times New Roman"/>
      <w:sz w:val="24"/>
      <w:szCs w:val="24"/>
      <w:lang w:val="pt-BR" w:eastAsia="pt-BR" w:bidi="ar-SA"/>
    </w:rPr>
  </w:style>
  <w:style w:type="paragraph" w:styleId="HTMLconformatoprevio">
    <w:name w:val="HTML Preformatted"/>
    <w:basedOn w:val="Normal"/>
    <w:link w:val="HTMLconformatoprevioCar"/>
    <w:semiHidden/>
    <w:rsid w:val="00A70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semiHidden/>
    <w:rsid w:val="00A7017D"/>
    <w:rPr>
      <w:rFonts w:ascii="Courier New" w:eastAsia="Times New Roman" w:hAnsi="Courier New" w:cs="Courier New"/>
      <w:sz w:val="20"/>
      <w:szCs w:val="20"/>
      <w:lang w:val="pt-BR" w:eastAsia="pt-BR" w:bidi="ar-SA"/>
    </w:rPr>
  </w:style>
  <w:style w:type="paragraph" w:styleId="NormalWeb">
    <w:name w:val="Normal (Web)"/>
    <w:basedOn w:val="Normal"/>
    <w:uiPriority w:val="99"/>
    <w:semiHidden/>
    <w:rsid w:val="00A7017D"/>
    <w:pPr>
      <w:spacing w:before="100" w:beforeAutospacing="1" w:after="100" w:afterAutospacing="1"/>
    </w:pPr>
    <w:rPr>
      <w:color w:val="000000"/>
    </w:rPr>
  </w:style>
  <w:style w:type="character" w:styleId="Hipervnculo">
    <w:name w:val="Hyperlink"/>
    <w:basedOn w:val="Fuentedeprrafopredeter"/>
    <w:semiHidden/>
    <w:rsid w:val="00A7017D"/>
    <w:rPr>
      <w:color w:val="0000FF"/>
      <w:u w:val="single"/>
    </w:rPr>
  </w:style>
  <w:style w:type="character" w:styleId="Nmerodepgina">
    <w:name w:val="page number"/>
    <w:basedOn w:val="Fuentedeprrafopredeter"/>
    <w:semiHidden/>
    <w:rsid w:val="00A7017D"/>
  </w:style>
  <w:style w:type="paragraph" w:styleId="Piedepgina">
    <w:name w:val="footer"/>
    <w:basedOn w:val="Normal"/>
    <w:link w:val="PiedepginaCar"/>
    <w:semiHidden/>
    <w:rsid w:val="00A7017D"/>
    <w:pPr>
      <w:tabs>
        <w:tab w:val="center" w:pos="4419"/>
        <w:tab w:val="right" w:pos="8838"/>
      </w:tabs>
    </w:pPr>
  </w:style>
  <w:style w:type="character" w:customStyle="1" w:styleId="PiedepginaCar">
    <w:name w:val="Pie de página Car"/>
    <w:basedOn w:val="Fuentedeprrafopredeter"/>
    <w:link w:val="Piedepgina"/>
    <w:semiHidden/>
    <w:rsid w:val="00A7017D"/>
    <w:rPr>
      <w:rFonts w:ascii="Times New Roman" w:eastAsia="Times New Roman" w:hAnsi="Times New Roman" w:cs="Times New Roman"/>
      <w:sz w:val="24"/>
      <w:szCs w:val="24"/>
      <w:lang w:val="pt-BR" w:eastAsia="pt-BR" w:bidi="ar-SA"/>
    </w:rPr>
  </w:style>
  <w:style w:type="paragraph" w:styleId="Textodeglobo">
    <w:name w:val="Balloon Text"/>
    <w:basedOn w:val="Normal"/>
    <w:link w:val="TextodegloboCar"/>
    <w:uiPriority w:val="99"/>
    <w:semiHidden/>
    <w:unhideWhenUsed/>
    <w:rsid w:val="00A7017D"/>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17D"/>
    <w:rPr>
      <w:rFonts w:ascii="Tahoma" w:eastAsia="Times New Roman" w:hAnsi="Tahoma" w:cs="Tahoma"/>
      <w:sz w:val="16"/>
      <w:szCs w:val="16"/>
      <w:lang w:val="pt-BR" w:eastAsia="pt-B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17D"/>
    <w:pPr>
      <w:spacing w:after="0" w:line="240" w:lineRule="auto"/>
    </w:pPr>
    <w:rPr>
      <w:rFonts w:ascii="Times New Roman" w:eastAsia="Times New Roman" w:hAnsi="Times New Roman" w:cs="Times New Roman"/>
      <w:sz w:val="24"/>
      <w:szCs w:val="24"/>
      <w:lang w:val="pt-BR" w:eastAsia="pt-BR" w:bidi="ar-SA"/>
    </w:rPr>
  </w:style>
  <w:style w:type="paragraph" w:styleId="Ttulo1">
    <w:name w:val="heading 1"/>
    <w:basedOn w:val="Normal"/>
    <w:next w:val="Normal"/>
    <w:link w:val="Ttulo1Car"/>
    <w:qFormat/>
    <w:rsid w:val="00EC37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EC37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C373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C37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C373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C373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C373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C373A"/>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C373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373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C373A"/>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EC373A"/>
    <w:pPr>
      <w:ind w:left="720"/>
      <w:contextualSpacing/>
    </w:pPr>
  </w:style>
  <w:style w:type="character" w:customStyle="1" w:styleId="Ttulo3Car">
    <w:name w:val="Título 3 Car"/>
    <w:basedOn w:val="Fuentedeprrafopredeter"/>
    <w:link w:val="Ttulo3"/>
    <w:uiPriority w:val="9"/>
    <w:rsid w:val="00EC373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C373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EC373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C373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EC373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EC373A"/>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EC373A"/>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EC373A"/>
    <w:rPr>
      <w:b/>
      <w:bCs/>
      <w:color w:val="4F81BD" w:themeColor="accent1"/>
      <w:sz w:val="18"/>
      <w:szCs w:val="18"/>
    </w:rPr>
  </w:style>
  <w:style w:type="paragraph" w:styleId="Ttulo">
    <w:name w:val="Title"/>
    <w:basedOn w:val="Normal"/>
    <w:next w:val="Normal"/>
    <w:link w:val="TtuloCar"/>
    <w:uiPriority w:val="10"/>
    <w:qFormat/>
    <w:rsid w:val="00EC37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C373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C373A"/>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EC373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EC373A"/>
    <w:rPr>
      <w:b/>
      <w:bCs/>
    </w:rPr>
  </w:style>
  <w:style w:type="character" w:styleId="nfasis">
    <w:name w:val="Emphasis"/>
    <w:basedOn w:val="Fuentedeprrafopredeter"/>
    <w:uiPriority w:val="20"/>
    <w:qFormat/>
    <w:rsid w:val="00EC373A"/>
    <w:rPr>
      <w:i/>
      <w:iCs/>
    </w:rPr>
  </w:style>
  <w:style w:type="paragraph" w:styleId="Sinespaciado">
    <w:name w:val="No Spacing"/>
    <w:uiPriority w:val="1"/>
    <w:qFormat/>
    <w:rsid w:val="00EC373A"/>
    <w:pPr>
      <w:spacing w:after="0" w:line="240" w:lineRule="auto"/>
    </w:pPr>
  </w:style>
  <w:style w:type="paragraph" w:styleId="Cita">
    <w:name w:val="Quote"/>
    <w:basedOn w:val="Normal"/>
    <w:next w:val="Normal"/>
    <w:link w:val="CitaCar"/>
    <w:uiPriority w:val="29"/>
    <w:qFormat/>
    <w:rsid w:val="00EC373A"/>
    <w:rPr>
      <w:i/>
      <w:iCs/>
      <w:color w:val="000000" w:themeColor="text1"/>
    </w:rPr>
  </w:style>
  <w:style w:type="character" w:customStyle="1" w:styleId="CitaCar">
    <w:name w:val="Cita Car"/>
    <w:basedOn w:val="Fuentedeprrafopredeter"/>
    <w:link w:val="Cita"/>
    <w:uiPriority w:val="29"/>
    <w:rsid w:val="00EC373A"/>
    <w:rPr>
      <w:i/>
      <w:iCs/>
      <w:color w:val="000000" w:themeColor="text1"/>
    </w:rPr>
  </w:style>
  <w:style w:type="paragraph" w:styleId="Citadestacada">
    <w:name w:val="Intense Quote"/>
    <w:basedOn w:val="Normal"/>
    <w:next w:val="Normal"/>
    <w:link w:val="CitadestacadaCar"/>
    <w:uiPriority w:val="30"/>
    <w:qFormat/>
    <w:rsid w:val="00EC373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C373A"/>
    <w:rPr>
      <w:b/>
      <w:bCs/>
      <w:i/>
      <w:iCs/>
      <w:color w:val="4F81BD" w:themeColor="accent1"/>
    </w:rPr>
  </w:style>
  <w:style w:type="character" w:styleId="nfasissutil">
    <w:name w:val="Subtle Emphasis"/>
    <w:basedOn w:val="Fuentedeprrafopredeter"/>
    <w:uiPriority w:val="19"/>
    <w:qFormat/>
    <w:rsid w:val="00EC373A"/>
    <w:rPr>
      <w:i/>
      <w:iCs/>
      <w:color w:val="808080" w:themeColor="text1" w:themeTint="7F"/>
    </w:rPr>
  </w:style>
  <w:style w:type="character" w:styleId="nfasisintenso">
    <w:name w:val="Intense Emphasis"/>
    <w:basedOn w:val="Fuentedeprrafopredeter"/>
    <w:uiPriority w:val="21"/>
    <w:qFormat/>
    <w:rsid w:val="00EC373A"/>
    <w:rPr>
      <w:b/>
      <w:bCs/>
      <w:i/>
      <w:iCs/>
      <w:color w:val="4F81BD" w:themeColor="accent1"/>
    </w:rPr>
  </w:style>
  <w:style w:type="character" w:styleId="Referenciasutil">
    <w:name w:val="Subtle Reference"/>
    <w:basedOn w:val="Fuentedeprrafopredeter"/>
    <w:uiPriority w:val="31"/>
    <w:qFormat/>
    <w:rsid w:val="00EC373A"/>
    <w:rPr>
      <w:smallCaps/>
      <w:color w:val="C0504D" w:themeColor="accent2"/>
      <w:u w:val="single"/>
    </w:rPr>
  </w:style>
  <w:style w:type="character" w:styleId="Referenciaintensa">
    <w:name w:val="Intense Reference"/>
    <w:basedOn w:val="Fuentedeprrafopredeter"/>
    <w:uiPriority w:val="32"/>
    <w:qFormat/>
    <w:rsid w:val="00EC373A"/>
    <w:rPr>
      <w:b/>
      <w:bCs/>
      <w:smallCaps/>
      <w:color w:val="C0504D" w:themeColor="accent2"/>
      <w:spacing w:val="5"/>
      <w:u w:val="single"/>
    </w:rPr>
  </w:style>
  <w:style w:type="character" w:styleId="Ttulodellibro">
    <w:name w:val="Book Title"/>
    <w:basedOn w:val="Fuentedeprrafopredeter"/>
    <w:uiPriority w:val="33"/>
    <w:qFormat/>
    <w:rsid w:val="00EC373A"/>
    <w:rPr>
      <w:b/>
      <w:bCs/>
      <w:smallCaps/>
      <w:spacing w:val="5"/>
    </w:rPr>
  </w:style>
  <w:style w:type="paragraph" w:styleId="TtulodeTDC">
    <w:name w:val="TOC Heading"/>
    <w:basedOn w:val="Ttulo1"/>
    <w:next w:val="Normal"/>
    <w:uiPriority w:val="39"/>
    <w:semiHidden/>
    <w:unhideWhenUsed/>
    <w:qFormat/>
    <w:rsid w:val="00EC373A"/>
    <w:pPr>
      <w:outlineLvl w:val="9"/>
    </w:pPr>
  </w:style>
  <w:style w:type="paragraph" w:styleId="Sangradetextonormal">
    <w:name w:val="Body Text Indent"/>
    <w:basedOn w:val="Normal"/>
    <w:link w:val="SangradetextonormalCar"/>
    <w:semiHidden/>
    <w:rsid w:val="00A7017D"/>
    <w:pPr>
      <w:spacing w:after="120"/>
      <w:ind w:left="283"/>
    </w:pPr>
  </w:style>
  <w:style w:type="character" w:customStyle="1" w:styleId="SangradetextonormalCar">
    <w:name w:val="Sangría de texto normal Car"/>
    <w:basedOn w:val="Fuentedeprrafopredeter"/>
    <w:link w:val="Sangradetextonormal"/>
    <w:semiHidden/>
    <w:rsid w:val="00A7017D"/>
    <w:rPr>
      <w:rFonts w:ascii="Times New Roman" w:eastAsia="Times New Roman" w:hAnsi="Times New Roman" w:cs="Times New Roman"/>
      <w:sz w:val="24"/>
      <w:szCs w:val="24"/>
      <w:lang w:val="pt-BR" w:eastAsia="pt-BR" w:bidi="ar-SA"/>
    </w:rPr>
  </w:style>
  <w:style w:type="paragraph" w:styleId="Textoindependiente3">
    <w:name w:val="Body Text 3"/>
    <w:basedOn w:val="Normal"/>
    <w:link w:val="Textoindependiente3Car"/>
    <w:semiHidden/>
    <w:rsid w:val="00A7017D"/>
    <w:pPr>
      <w:spacing w:line="360" w:lineRule="auto"/>
      <w:jc w:val="both"/>
    </w:pPr>
  </w:style>
  <w:style w:type="character" w:customStyle="1" w:styleId="Textoindependiente3Car">
    <w:name w:val="Texto independiente 3 Car"/>
    <w:basedOn w:val="Fuentedeprrafopredeter"/>
    <w:link w:val="Textoindependiente3"/>
    <w:semiHidden/>
    <w:rsid w:val="00A7017D"/>
    <w:rPr>
      <w:rFonts w:ascii="Times New Roman" w:eastAsia="Times New Roman" w:hAnsi="Times New Roman" w:cs="Times New Roman"/>
      <w:sz w:val="24"/>
      <w:szCs w:val="24"/>
      <w:lang w:val="pt-BR" w:eastAsia="pt-BR" w:bidi="ar-SA"/>
    </w:rPr>
  </w:style>
  <w:style w:type="paragraph" w:styleId="Sangra2detindependiente">
    <w:name w:val="Body Text Indent 2"/>
    <w:basedOn w:val="Normal"/>
    <w:link w:val="Sangra2detindependienteCar"/>
    <w:semiHidden/>
    <w:rsid w:val="00A7017D"/>
    <w:pPr>
      <w:spacing w:line="360" w:lineRule="auto"/>
      <w:ind w:left="360"/>
      <w:jc w:val="both"/>
    </w:pPr>
  </w:style>
  <w:style w:type="character" w:customStyle="1" w:styleId="Sangra2detindependienteCar">
    <w:name w:val="Sangría 2 de t. independiente Car"/>
    <w:basedOn w:val="Fuentedeprrafopredeter"/>
    <w:link w:val="Sangra2detindependiente"/>
    <w:semiHidden/>
    <w:rsid w:val="00A7017D"/>
    <w:rPr>
      <w:rFonts w:ascii="Times New Roman" w:eastAsia="Times New Roman" w:hAnsi="Times New Roman" w:cs="Times New Roman"/>
      <w:sz w:val="24"/>
      <w:szCs w:val="24"/>
      <w:lang w:val="pt-BR" w:eastAsia="pt-BR" w:bidi="ar-SA"/>
    </w:rPr>
  </w:style>
  <w:style w:type="paragraph" w:styleId="Sangra3detindependiente">
    <w:name w:val="Body Text Indent 3"/>
    <w:basedOn w:val="Normal"/>
    <w:link w:val="Sangra3detindependienteCar"/>
    <w:semiHidden/>
    <w:rsid w:val="00A7017D"/>
    <w:pPr>
      <w:spacing w:line="360" w:lineRule="auto"/>
      <w:ind w:left="3960" w:hanging="3600"/>
    </w:pPr>
  </w:style>
  <w:style w:type="character" w:customStyle="1" w:styleId="Sangra3detindependienteCar">
    <w:name w:val="Sangría 3 de t. independiente Car"/>
    <w:basedOn w:val="Fuentedeprrafopredeter"/>
    <w:link w:val="Sangra3detindependiente"/>
    <w:semiHidden/>
    <w:rsid w:val="00A7017D"/>
    <w:rPr>
      <w:rFonts w:ascii="Times New Roman" w:eastAsia="Times New Roman" w:hAnsi="Times New Roman" w:cs="Times New Roman"/>
      <w:sz w:val="24"/>
      <w:szCs w:val="24"/>
      <w:lang w:val="pt-BR" w:eastAsia="pt-BR" w:bidi="ar-SA"/>
    </w:rPr>
  </w:style>
  <w:style w:type="paragraph" w:styleId="Textoindependiente">
    <w:name w:val="Body Text"/>
    <w:basedOn w:val="Normal"/>
    <w:link w:val="TextoindependienteCar"/>
    <w:semiHidden/>
    <w:rsid w:val="00A7017D"/>
    <w:rPr>
      <w:sz w:val="32"/>
      <w:lang w:eastAsia="en-US"/>
    </w:rPr>
  </w:style>
  <w:style w:type="character" w:customStyle="1" w:styleId="TextoindependienteCar">
    <w:name w:val="Texto independiente Car"/>
    <w:basedOn w:val="Fuentedeprrafopredeter"/>
    <w:link w:val="Textoindependiente"/>
    <w:semiHidden/>
    <w:rsid w:val="00A7017D"/>
    <w:rPr>
      <w:rFonts w:ascii="Times New Roman" w:eastAsia="Times New Roman" w:hAnsi="Times New Roman" w:cs="Times New Roman"/>
      <w:sz w:val="32"/>
      <w:szCs w:val="24"/>
      <w:lang w:val="pt-BR" w:bidi="ar-SA"/>
    </w:rPr>
  </w:style>
  <w:style w:type="paragraph" w:styleId="Textoindependiente2">
    <w:name w:val="Body Text 2"/>
    <w:basedOn w:val="Normal"/>
    <w:link w:val="Textoindependiente2Car"/>
    <w:semiHidden/>
    <w:rsid w:val="00A7017D"/>
    <w:pPr>
      <w:spacing w:after="120" w:line="480" w:lineRule="auto"/>
    </w:pPr>
  </w:style>
  <w:style w:type="character" w:customStyle="1" w:styleId="Textoindependiente2Car">
    <w:name w:val="Texto independiente 2 Car"/>
    <w:basedOn w:val="Fuentedeprrafopredeter"/>
    <w:link w:val="Textoindependiente2"/>
    <w:semiHidden/>
    <w:rsid w:val="00A7017D"/>
    <w:rPr>
      <w:rFonts w:ascii="Times New Roman" w:eastAsia="Times New Roman" w:hAnsi="Times New Roman" w:cs="Times New Roman"/>
      <w:sz w:val="24"/>
      <w:szCs w:val="24"/>
      <w:lang w:val="pt-BR" w:eastAsia="pt-BR" w:bidi="ar-SA"/>
    </w:rPr>
  </w:style>
  <w:style w:type="paragraph" w:styleId="HTMLconformatoprevio">
    <w:name w:val="HTML Preformatted"/>
    <w:basedOn w:val="Normal"/>
    <w:link w:val="HTMLconformatoprevioCar"/>
    <w:semiHidden/>
    <w:rsid w:val="00A70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semiHidden/>
    <w:rsid w:val="00A7017D"/>
    <w:rPr>
      <w:rFonts w:ascii="Courier New" w:eastAsia="Times New Roman" w:hAnsi="Courier New" w:cs="Courier New"/>
      <w:sz w:val="20"/>
      <w:szCs w:val="20"/>
      <w:lang w:val="pt-BR" w:eastAsia="pt-BR" w:bidi="ar-SA"/>
    </w:rPr>
  </w:style>
  <w:style w:type="paragraph" w:styleId="NormalWeb">
    <w:name w:val="Normal (Web)"/>
    <w:basedOn w:val="Normal"/>
    <w:uiPriority w:val="99"/>
    <w:semiHidden/>
    <w:rsid w:val="00A7017D"/>
    <w:pPr>
      <w:spacing w:before="100" w:beforeAutospacing="1" w:after="100" w:afterAutospacing="1"/>
    </w:pPr>
    <w:rPr>
      <w:color w:val="000000"/>
    </w:rPr>
  </w:style>
  <w:style w:type="character" w:styleId="Hipervnculo">
    <w:name w:val="Hyperlink"/>
    <w:basedOn w:val="Fuentedeprrafopredeter"/>
    <w:semiHidden/>
    <w:rsid w:val="00A7017D"/>
    <w:rPr>
      <w:color w:val="0000FF"/>
      <w:u w:val="single"/>
    </w:rPr>
  </w:style>
  <w:style w:type="character" w:styleId="Nmerodepgina">
    <w:name w:val="page number"/>
    <w:basedOn w:val="Fuentedeprrafopredeter"/>
    <w:semiHidden/>
    <w:rsid w:val="00A7017D"/>
  </w:style>
  <w:style w:type="paragraph" w:styleId="Piedepgina">
    <w:name w:val="footer"/>
    <w:basedOn w:val="Normal"/>
    <w:link w:val="PiedepginaCar"/>
    <w:semiHidden/>
    <w:rsid w:val="00A7017D"/>
    <w:pPr>
      <w:tabs>
        <w:tab w:val="center" w:pos="4419"/>
        <w:tab w:val="right" w:pos="8838"/>
      </w:tabs>
    </w:pPr>
  </w:style>
  <w:style w:type="character" w:customStyle="1" w:styleId="PiedepginaCar">
    <w:name w:val="Pie de página Car"/>
    <w:basedOn w:val="Fuentedeprrafopredeter"/>
    <w:link w:val="Piedepgina"/>
    <w:semiHidden/>
    <w:rsid w:val="00A7017D"/>
    <w:rPr>
      <w:rFonts w:ascii="Times New Roman" w:eastAsia="Times New Roman" w:hAnsi="Times New Roman" w:cs="Times New Roman"/>
      <w:sz w:val="24"/>
      <w:szCs w:val="24"/>
      <w:lang w:val="pt-BR" w:eastAsia="pt-BR" w:bidi="ar-SA"/>
    </w:rPr>
  </w:style>
  <w:style w:type="paragraph" w:styleId="Textodeglobo">
    <w:name w:val="Balloon Text"/>
    <w:basedOn w:val="Normal"/>
    <w:link w:val="TextodegloboCar"/>
    <w:uiPriority w:val="99"/>
    <w:semiHidden/>
    <w:unhideWhenUsed/>
    <w:rsid w:val="00A7017D"/>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17D"/>
    <w:rPr>
      <w:rFonts w:ascii="Tahoma" w:eastAsia="Times New Roman" w:hAnsi="Tahoma" w:cs="Tahoma"/>
      <w:sz w:val="16"/>
      <w:szCs w:val="16"/>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bd.org.br" TargetMode="External"/><Relationship Id="rId1" Type="http://schemas.openxmlformats.org/officeDocument/2006/relationships/numbering" Target="numbering.xml"/><Relationship Id="rId6" Type="http://schemas.openxmlformats.org/officeDocument/2006/relationships/hyperlink" Target="mailto:a.alchorne@terra.com.br"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blackwell-ynergy.com/servlet/useragent?func=showIssues&amp;code=cod"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5027</Words>
  <Characters>28654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Antonio Rondon Lugo</cp:lastModifiedBy>
  <cp:revision>3</cp:revision>
  <dcterms:created xsi:type="dcterms:W3CDTF">2011-09-27T14:45:00Z</dcterms:created>
  <dcterms:modified xsi:type="dcterms:W3CDTF">2011-09-27T14:51:00Z</dcterms:modified>
</cp:coreProperties>
</file>